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C27" w:rsidRPr="000A7C32" w:rsidRDefault="000A7C32">
      <w:pPr>
        <w:rPr>
          <w:b/>
          <w:sz w:val="24"/>
          <w:lang w:val="el-GR"/>
        </w:rPr>
      </w:pPr>
      <w:r w:rsidRPr="000A7C32">
        <w:rPr>
          <w:b/>
          <w:sz w:val="24"/>
          <w:lang w:val="el-GR"/>
        </w:rPr>
        <w:t xml:space="preserve">ΕΔΑΦΟΜΗΧΑΝΙΚΗ ΙΙ </w:t>
      </w:r>
    </w:p>
    <w:p w:rsidR="000A7C32" w:rsidRDefault="000A7C32" w:rsidP="000A7C32">
      <w:pPr>
        <w:jc w:val="right"/>
        <w:rPr>
          <w:lang w:val="el-GR"/>
        </w:rPr>
      </w:pPr>
      <w:r w:rsidRPr="000A7C32">
        <w:rPr>
          <w:lang w:val="el-GR"/>
        </w:rPr>
        <w:t>Οκτώβριος 2011</w:t>
      </w:r>
    </w:p>
    <w:p w:rsidR="000A7C32" w:rsidRDefault="000A7C32" w:rsidP="000A7C32">
      <w:r>
        <w:rPr>
          <w:lang w:val="el-GR"/>
        </w:rPr>
        <w:t>Διάρκεια: 1</w:t>
      </w:r>
      <w:r>
        <w:t>h</w:t>
      </w:r>
      <w:r w:rsidRPr="000A7C32">
        <w:rPr>
          <w:lang w:val="el-GR"/>
        </w:rPr>
        <w:t xml:space="preserve"> 10</w:t>
      </w:r>
      <w:r>
        <w:t>min</w:t>
      </w:r>
    </w:p>
    <w:p w:rsidR="000A7C32" w:rsidRDefault="000A7C32" w:rsidP="000A7C32"/>
    <w:p w:rsidR="000A7C32" w:rsidRDefault="000A7C32" w:rsidP="000A7C32">
      <w:pPr>
        <w:rPr>
          <w:b/>
          <w:lang w:val="el-GR"/>
        </w:rPr>
      </w:pPr>
      <w:r w:rsidRPr="000A7C32">
        <w:rPr>
          <w:b/>
          <w:lang w:val="el-GR"/>
        </w:rPr>
        <w:t>Θέμα 2</w:t>
      </w:r>
      <w:r w:rsidRPr="000A7C32">
        <w:rPr>
          <w:b/>
          <w:vertAlign w:val="superscript"/>
          <w:lang w:val="el-GR"/>
        </w:rPr>
        <w:t>ο</w:t>
      </w:r>
    </w:p>
    <w:p w:rsidR="000A7C32" w:rsidRDefault="00683499" w:rsidP="000A7C32">
      <w:pPr>
        <w:rPr>
          <w:lang w:val="el-GR"/>
        </w:rPr>
      </w:pPr>
      <w:r>
        <w:rPr>
          <w:noProof/>
        </w:rPr>
        <w:pict>
          <v:group id="_x0000_s1047" style="position:absolute;margin-left:257.15pt;margin-top:60.65pt;width:226.8pt;height:137.7pt;z-index:251671552" coordorigin="1100,5816" coordsize="4536,2754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2" type="#_x0000_t32" style="position:absolute;left:1100;top:8570;width:1134;height:0" o:connectortype="straight" strokecolor="#974706 [1609]" strokeweight="1pt"/>
            <v:shape id="_x0000_s1035" type="#_x0000_t32" style="position:absolute;left:1667;top:8003;width:1134;height:0;rotation:90" o:connectortype="straight"/>
            <v:shape id="_x0000_s1036" type="#_x0000_t32" style="position:absolute;left:2234;top:6302;width:1134;height:1134;flip:y" o:connectortype="straight"/>
            <v:shape id="_x0000_s1037" type="#_x0000_t32" style="position:absolute;left:1667;top:6869;width:1134;height:0;rotation:90" o:connectortype="straight">
              <v:stroke dashstyle="1 1" endcap="round"/>
            </v:shape>
            <v:shape id="_x0000_s1038" type="#_x0000_t32" style="position:absolute;left:3368;top:6302;width:1134;height:0" o:connectortype="straight"/>
            <v:shape id="_x0000_s1039" type="#_x0000_t32" style="position:absolute;left:2234;top:6302;width:1134;height:0" o:connectortype="straight">
              <v:stroke dashstyle="1 1" endcap="round"/>
            </v:shape>
            <v:shape id="_x0000_s1040" type="#_x0000_t32" style="position:absolute;left:4502;top:6302;width:1134;height:0" o:connectortype="straight" strokecolor="#974706 [1609]" strokeweight="1pt"/>
            <v:shape id="_x0000_s1041" type="#_x0000_t32" style="position:absolute;left:2234;top:6302;width:2268;height:2268;flip:y" o:connectortype="straight" strokeweight="1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left:1698;top:5877;width:443;height:425" stroked="f">
              <v:textbox style="mso-next-textbox:#_x0000_s1042">
                <w:txbxContent>
                  <w:p w:rsidR="00683499" w:rsidRPr="00683499" w:rsidRDefault="00683499">
                    <w:pPr>
                      <w:rPr>
                        <w:b/>
                        <w:lang w:val="el-GR"/>
                      </w:rPr>
                    </w:pPr>
                    <w:r w:rsidRPr="00683499">
                      <w:rPr>
                        <w:b/>
                        <w:lang w:val="el-GR"/>
                      </w:rPr>
                      <w:t>Α</w:t>
                    </w:r>
                  </w:p>
                </w:txbxContent>
              </v:textbox>
            </v:shape>
            <v:shape id="_x0000_s1043" type="#_x0000_t202" style="position:absolute;left:1724;top:7205;width:443;height:425" stroked="f">
              <v:textbox style="mso-next-textbox:#_x0000_s1043">
                <w:txbxContent>
                  <w:p w:rsidR="00683499" w:rsidRPr="00683499" w:rsidRDefault="00683499" w:rsidP="00683499">
                    <w:pPr>
                      <w:rPr>
                        <w:b/>
                        <w:lang w:val="el-GR"/>
                      </w:rPr>
                    </w:pPr>
                    <w:r>
                      <w:rPr>
                        <w:b/>
                        <w:lang w:val="el-GR"/>
                      </w:rPr>
                      <w:t>Ε</w:t>
                    </w:r>
                  </w:p>
                </w:txbxContent>
              </v:textbox>
            </v:shape>
            <v:shape id="_x0000_s1044" type="#_x0000_t202" style="position:absolute;left:1724;top:8083;width:443;height:425" stroked="f">
              <v:textbox style="mso-next-textbox:#_x0000_s1044">
                <w:txbxContent>
                  <w:p w:rsidR="00683499" w:rsidRPr="00683499" w:rsidRDefault="00683499" w:rsidP="00683499">
                    <w:pPr>
                      <w:rPr>
                        <w:b/>
                        <w:lang w:val="el-GR"/>
                      </w:rPr>
                    </w:pPr>
                    <w:r>
                      <w:rPr>
                        <w:b/>
                        <w:lang w:val="el-GR"/>
                      </w:rPr>
                      <w:t>Β</w:t>
                    </w:r>
                  </w:p>
                </w:txbxContent>
              </v:textbox>
            </v:shape>
            <v:shape id="_x0000_s1045" type="#_x0000_t202" style="position:absolute;left:3191;top:5816;width:443;height:425" stroked="f">
              <v:textbox style="mso-next-textbox:#_x0000_s1045">
                <w:txbxContent>
                  <w:p w:rsidR="00683499" w:rsidRPr="00683499" w:rsidRDefault="00683499" w:rsidP="00683499">
                    <w:pPr>
                      <w:rPr>
                        <w:b/>
                        <w:lang w:val="el-GR"/>
                      </w:rPr>
                    </w:pPr>
                    <w:r>
                      <w:rPr>
                        <w:b/>
                        <w:lang w:val="el-GR"/>
                      </w:rPr>
                      <w:t>Δ</w:t>
                    </w:r>
                  </w:p>
                </w:txbxContent>
              </v:textbox>
            </v:shape>
            <v:shape id="_x0000_s1046" type="#_x0000_t202" style="position:absolute;left:4281;top:5816;width:443;height:425" stroked="f">
              <v:textbox style="mso-next-textbox:#_x0000_s1046">
                <w:txbxContent>
                  <w:p w:rsidR="00683499" w:rsidRPr="00683499" w:rsidRDefault="00683499" w:rsidP="00683499">
                    <w:pPr>
                      <w:rPr>
                        <w:b/>
                        <w:lang w:val="el-GR"/>
                      </w:rPr>
                    </w:pPr>
                    <w:r>
                      <w:rPr>
                        <w:b/>
                        <w:lang w:val="el-GR"/>
                      </w:rPr>
                      <w:t>Γ</w:t>
                    </w:r>
                  </w:p>
                </w:txbxContent>
              </v:textbox>
            </v:shape>
          </v:group>
        </w:pict>
      </w:r>
      <w:r w:rsidR="000A7C32">
        <w:rPr>
          <w:lang w:val="el-GR"/>
        </w:rPr>
        <w:t>Το πρίσμα του σχήματος από ανομοιογενή πλήρως κορεσμένη άργιλο, με γ=20</w:t>
      </w:r>
      <w:r w:rsidR="000A7C32">
        <w:t>kN</w:t>
      </w:r>
      <w:r w:rsidR="000A7C32" w:rsidRPr="000A7C32">
        <w:rPr>
          <w:lang w:val="el-GR"/>
        </w:rPr>
        <w:t>/</w:t>
      </w:r>
      <w:r w:rsidR="000A7C32">
        <w:t>m</w:t>
      </w:r>
      <w:r w:rsidR="000A7C32" w:rsidRPr="000A7C32">
        <w:rPr>
          <w:vertAlign w:val="superscript"/>
          <w:lang w:val="el-GR"/>
        </w:rPr>
        <w:t xml:space="preserve">3 </w:t>
      </w:r>
      <w:r w:rsidR="000A7C32" w:rsidRPr="000A7C32">
        <w:rPr>
          <w:lang w:val="el-GR"/>
        </w:rPr>
        <w:t>,</w:t>
      </w:r>
      <w:r w:rsidR="00277C40">
        <w:rPr>
          <w:lang w:val="el-GR"/>
        </w:rPr>
        <w:t xml:space="preserve">θεωρούμε επίπεδη επιφάνεια </w:t>
      </w:r>
      <w:r>
        <w:rPr>
          <w:lang w:val="el-GR"/>
        </w:rPr>
        <w:t>ολισθήσεως (ΒΓ)</w:t>
      </w:r>
      <w:r w:rsidR="000A7C32">
        <w:rPr>
          <w:lang w:val="el-GR"/>
        </w:rPr>
        <w:t xml:space="preserve">. Η διατμητική αντοχή, «αστράγγιστες» συνθήκες, σε σχέση με το βάθος δίνεται από τη σχέση </w:t>
      </w:r>
      <w:r w:rsidR="000A7C32">
        <w:t>S</w:t>
      </w:r>
      <w:r w:rsidR="000A7C32" w:rsidRPr="000A7C32">
        <w:rPr>
          <w:vertAlign w:val="subscript"/>
        </w:rPr>
        <w:t>u</w:t>
      </w:r>
      <w:r w:rsidR="000A7C32" w:rsidRPr="000A7C32">
        <w:rPr>
          <w:lang w:val="el-GR"/>
        </w:rPr>
        <w:t>=20+3*</w:t>
      </w:r>
      <w:r w:rsidR="000A7C32">
        <w:rPr>
          <w:lang w:val="en-US"/>
        </w:rPr>
        <w:t>z</w:t>
      </w:r>
      <w:r w:rsidR="000A7C32" w:rsidRPr="000A7C32">
        <w:rPr>
          <w:lang w:val="el-GR"/>
        </w:rPr>
        <w:t xml:space="preserve"> (</w:t>
      </w:r>
      <w:r w:rsidR="000A7C32">
        <w:t>S</w:t>
      </w:r>
      <w:r w:rsidR="000A7C32" w:rsidRPr="000A7C32">
        <w:rPr>
          <w:vertAlign w:val="subscript"/>
        </w:rPr>
        <w:t>u</w:t>
      </w:r>
      <w:r w:rsidR="000A7C32">
        <w:rPr>
          <w:lang w:val="el-GR"/>
        </w:rPr>
        <w:t xml:space="preserve">σε </w:t>
      </w:r>
      <w:r w:rsidR="000A7C32">
        <w:rPr>
          <w:lang w:val="en-US"/>
        </w:rPr>
        <w:t>kPa</w:t>
      </w:r>
      <w:r w:rsidR="000A7C32">
        <w:rPr>
          <w:lang w:val="el-GR"/>
        </w:rPr>
        <w:t xml:space="preserve">, </w:t>
      </w:r>
      <w:r w:rsidR="000A7C32">
        <w:rPr>
          <w:lang w:val="en-US"/>
        </w:rPr>
        <w:t>z</w:t>
      </w:r>
      <w:r w:rsidR="000A7C32">
        <w:rPr>
          <w:lang w:val="el-GR"/>
        </w:rPr>
        <w:t xml:space="preserve"> σε </w:t>
      </w:r>
      <w:r w:rsidR="000A7C32">
        <w:rPr>
          <w:lang w:val="en-US"/>
        </w:rPr>
        <w:t>m</w:t>
      </w:r>
      <w:r w:rsidR="000A7C32">
        <w:rPr>
          <w:lang w:val="el-GR"/>
        </w:rPr>
        <w:t xml:space="preserve">). Να υπολογιστεί ο συντελεστής ασφαλείας έναντι ολισθήσεως. </w:t>
      </w:r>
      <w:r w:rsidR="00277C40">
        <w:rPr>
          <w:lang w:val="el-GR"/>
        </w:rPr>
        <w:t>(εύλογες γεωμετρικές παραδοχές πλήρως αποδεκτές)</w:t>
      </w:r>
    </w:p>
    <w:p w:rsidR="00277C40" w:rsidRDefault="00277C40" w:rsidP="000A7C32">
      <w:pPr>
        <w:rPr>
          <w:lang w:val="el-GR"/>
        </w:rPr>
      </w:pPr>
      <w:r>
        <w:rPr>
          <w:lang w:val="el-GR"/>
        </w:rPr>
        <w:t>(ΑΕ)=(ΒΕ)=(ΑΔ)=(ΔΓ)=4</w:t>
      </w:r>
      <w:r>
        <w:t>m</w:t>
      </w:r>
    </w:p>
    <w:p w:rsidR="00683499" w:rsidRDefault="00683499" w:rsidP="000A7C32">
      <w:pPr>
        <w:rPr>
          <w:lang w:val="el-GR"/>
        </w:rPr>
      </w:pPr>
    </w:p>
    <w:p w:rsidR="00683499" w:rsidRDefault="00683499" w:rsidP="000A7C32">
      <w:pPr>
        <w:rPr>
          <w:lang w:val="el-GR"/>
        </w:rPr>
      </w:pPr>
    </w:p>
    <w:p w:rsidR="00683499" w:rsidRDefault="00683499" w:rsidP="000A7C32">
      <w:pPr>
        <w:rPr>
          <w:lang w:val="el-GR"/>
        </w:rPr>
      </w:pPr>
    </w:p>
    <w:p w:rsidR="00683499" w:rsidRDefault="00683499" w:rsidP="000A7C32">
      <w:pPr>
        <w:rPr>
          <w:lang w:val="el-GR"/>
        </w:rPr>
      </w:pPr>
    </w:p>
    <w:p w:rsidR="00683499" w:rsidRDefault="00683499" w:rsidP="000A7C32">
      <w:pPr>
        <w:rPr>
          <w:lang w:val="el-GR"/>
        </w:rPr>
      </w:pPr>
    </w:p>
    <w:p w:rsidR="00683499" w:rsidRDefault="00683499" w:rsidP="000A7C32">
      <w:pPr>
        <w:rPr>
          <w:b/>
          <w:vertAlign w:val="superscript"/>
          <w:lang w:val="el-GR"/>
        </w:rPr>
      </w:pPr>
      <w:r w:rsidRPr="00683499">
        <w:rPr>
          <w:b/>
          <w:lang w:val="el-GR"/>
        </w:rPr>
        <w:t>Θέμα 4</w:t>
      </w:r>
      <w:r w:rsidRPr="00683499">
        <w:rPr>
          <w:b/>
          <w:vertAlign w:val="superscript"/>
          <w:lang w:val="el-GR"/>
        </w:rPr>
        <w:t>ο</w:t>
      </w:r>
    </w:p>
    <w:p w:rsidR="00683499" w:rsidRDefault="00C63EF8" w:rsidP="000A7C32">
      <w:pPr>
        <w:rPr>
          <w:lang w:val="en-US"/>
        </w:rPr>
      </w:pPr>
      <w:r>
        <w:rPr>
          <w:lang w:val="el-GR"/>
        </w:rPr>
        <w:t>Δίνονται 5 χαλύβδινα κυλινδρικά δοχεία, διαφορετικής διαμέτρου (10, 20, 30, 40, 50</w:t>
      </w:r>
      <w:r>
        <w:rPr>
          <w:lang w:val="is-IS"/>
        </w:rPr>
        <w:t xml:space="preserve"> cm)</w:t>
      </w:r>
      <w:r>
        <w:rPr>
          <w:lang w:val="el-GR"/>
        </w:rPr>
        <w:t xml:space="preserve"> και διαφορετικού ύψους (13, 20, 20, 10, 15 </w:t>
      </w:r>
      <w:r>
        <w:t>cm</w:t>
      </w:r>
      <w:r>
        <w:rPr>
          <w:lang w:val="el-GR"/>
        </w:rPr>
        <w:t xml:space="preserve">) το καθένα. Τα τοιχώματά τους θεωρούνται απαραμόρφωτα και αρκούντως λεία. Σε καθένα από αυτά τοποθετείται δείγμα πλήρως κορεσμένης αργίλου με συντελεστή </w:t>
      </w:r>
      <w:r>
        <w:rPr>
          <w:lang w:val="en-US"/>
        </w:rPr>
        <w:t>c</w:t>
      </w:r>
      <w:r w:rsidRPr="00C63EF8">
        <w:rPr>
          <w:vertAlign w:val="subscript"/>
          <w:lang w:val="en-US"/>
        </w:rPr>
        <w:t>v</w:t>
      </w:r>
      <w:r w:rsidRPr="00C63EF8">
        <w:rPr>
          <w:lang w:val="el-GR"/>
        </w:rPr>
        <w:t>=5</w:t>
      </w:r>
      <w:r>
        <w:rPr>
          <w:lang w:val="en-US"/>
        </w:rPr>
        <w:t>cm</w:t>
      </w:r>
      <w:r w:rsidR="00BC4C45" w:rsidRPr="00BC4C45">
        <w:rPr>
          <w:vertAlign w:val="superscript"/>
          <w:lang w:val="el-GR"/>
        </w:rPr>
        <w:t>2</w:t>
      </w:r>
      <w:r>
        <w:rPr>
          <w:lang w:val="el-GR"/>
        </w:rPr>
        <w:t xml:space="preserve">/ημέρα και </w:t>
      </w:r>
      <w:r>
        <w:rPr>
          <w:lang w:val="en-US"/>
        </w:rPr>
        <w:t>D</w:t>
      </w:r>
      <w:r w:rsidRPr="00C63EF8">
        <w:rPr>
          <w:lang w:val="el-GR"/>
        </w:rPr>
        <w:t>=2</w:t>
      </w:r>
      <w:r>
        <w:rPr>
          <w:lang w:val="en-US"/>
        </w:rPr>
        <w:t>MPa</w:t>
      </w:r>
      <w:r>
        <w:rPr>
          <w:lang w:val="el-GR"/>
        </w:rPr>
        <w:t xml:space="preserve">. Πάνω και κάτω από το υλικό τοποθετούνται πορώδης λίθοι. Σε όλα τα δοκίμια </w:t>
      </w:r>
      <w:r w:rsidR="00BC4C45">
        <w:rPr>
          <w:lang w:val="el-GR"/>
        </w:rPr>
        <w:t>α</w:t>
      </w:r>
      <w:r>
        <w:rPr>
          <w:lang w:val="el-GR"/>
        </w:rPr>
        <w:t xml:space="preserve">σκείται φορτίο </w:t>
      </w:r>
      <w:r>
        <w:t>P</w:t>
      </w:r>
      <w:r>
        <w:rPr>
          <w:lang w:val="en-US"/>
        </w:rPr>
        <w:t>=0.5kN</w:t>
      </w:r>
    </w:p>
    <w:p w:rsidR="00C63EF8" w:rsidRDefault="00C63EF8" w:rsidP="000A7C32">
      <w:pPr>
        <w:rPr>
          <w:lang w:val="el-GR"/>
        </w:rPr>
      </w:pPr>
      <w:r w:rsidRPr="00C63EF8">
        <w:rPr>
          <w:lang w:val="el-GR"/>
        </w:rPr>
        <w:t>(</w:t>
      </w:r>
      <w:r>
        <w:rPr>
          <w:lang w:val="el-GR"/>
        </w:rPr>
        <w:t xml:space="preserve">Υπενθυμίζονται οι σχέσεις </w:t>
      </w:r>
      <w:r>
        <w:t>T</w:t>
      </w:r>
      <w:r w:rsidRPr="00C63EF8">
        <w:rPr>
          <w:vertAlign w:val="subscript"/>
        </w:rPr>
        <w:t>v</w:t>
      </w:r>
      <w:r w:rsidRPr="00C63EF8">
        <w:rPr>
          <w:lang w:val="el-GR"/>
        </w:rPr>
        <w:t xml:space="preserve">= </w:t>
      </w:r>
      <w:r>
        <w:rPr>
          <w:lang w:val="en-US"/>
        </w:rPr>
        <w:t>c</w:t>
      </w:r>
      <w:r w:rsidRPr="00C63EF8">
        <w:rPr>
          <w:vertAlign w:val="subscript"/>
          <w:lang w:val="en-US"/>
        </w:rPr>
        <w:t>v</w:t>
      </w:r>
      <w:r w:rsidRPr="00C63EF8">
        <w:rPr>
          <w:lang w:val="el-GR"/>
        </w:rPr>
        <w:t xml:space="preserve"> *</w:t>
      </w:r>
      <w:r>
        <w:rPr>
          <w:lang w:val="en-US"/>
        </w:rPr>
        <w:t>t</w:t>
      </w:r>
      <w:r w:rsidRPr="00C63EF8">
        <w:rPr>
          <w:lang w:val="el-GR"/>
        </w:rPr>
        <w:t>/</w:t>
      </w:r>
      <w:r>
        <w:rPr>
          <w:lang w:val="en-US"/>
        </w:rPr>
        <w:t>H</w:t>
      </w:r>
      <w:r w:rsidRPr="00C63EF8">
        <w:rPr>
          <w:vertAlign w:val="superscript"/>
          <w:lang w:val="el-GR"/>
        </w:rPr>
        <w:t>2</w:t>
      </w:r>
      <w:r w:rsidRPr="00C63EF8">
        <w:rPr>
          <w:lang w:val="el-GR"/>
        </w:rPr>
        <w:t xml:space="preserve">, </w:t>
      </w:r>
      <w:r>
        <w:rPr>
          <w:lang w:val="en-US"/>
        </w:rPr>
        <w:t>c</w:t>
      </w:r>
      <w:r w:rsidRPr="00C63EF8">
        <w:rPr>
          <w:vertAlign w:val="subscript"/>
          <w:lang w:val="en-US"/>
        </w:rPr>
        <w:t>v</w:t>
      </w:r>
      <w:r w:rsidRPr="00C63EF8">
        <w:rPr>
          <w:lang w:val="el-GR"/>
        </w:rPr>
        <w:t>=</w:t>
      </w:r>
      <w:r>
        <w:rPr>
          <w:lang w:val="en-US"/>
        </w:rPr>
        <w:t>k</w:t>
      </w:r>
      <w:r w:rsidRPr="00C63EF8">
        <w:rPr>
          <w:lang w:val="el-GR"/>
        </w:rPr>
        <w:t>*</w:t>
      </w:r>
      <w:r>
        <w:rPr>
          <w:lang w:val="en-US"/>
        </w:rPr>
        <w:t>D</w:t>
      </w:r>
      <w:r w:rsidRPr="00C63EF8">
        <w:rPr>
          <w:lang w:val="el-GR"/>
        </w:rPr>
        <w:t>/</w:t>
      </w:r>
      <w:r>
        <w:rPr>
          <w:lang w:val="el-GR"/>
        </w:rPr>
        <w:t>γ</w:t>
      </w:r>
      <w:r w:rsidRPr="00C63EF8">
        <w:rPr>
          <w:vertAlign w:val="subscript"/>
        </w:rPr>
        <w:t>w</w:t>
      </w:r>
      <w:r w:rsidR="00BC4C45" w:rsidRPr="00BC4C45">
        <w:rPr>
          <w:lang w:val="el-GR"/>
        </w:rPr>
        <w:t>)</w:t>
      </w:r>
    </w:p>
    <w:p w:rsidR="00BC4C45" w:rsidRDefault="00BC4C45" w:rsidP="00BC4C45">
      <w:pPr>
        <w:rPr>
          <w:lang w:val="el-GR"/>
        </w:rPr>
      </w:pPr>
      <w:r>
        <w:rPr>
          <w:lang w:val="el-GR"/>
        </w:rPr>
        <w:t>Ζητούνται:</w:t>
      </w:r>
    </w:p>
    <w:p w:rsidR="00BC4C45" w:rsidRDefault="00BC4C45" w:rsidP="00BC4C45">
      <w:pPr>
        <w:pStyle w:val="ListParagraph"/>
        <w:numPr>
          <w:ilvl w:val="0"/>
          <w:numId w:val="2"/>
        </w:numPr>
        <w:rPr>
          <w:lang w:val="el-GR"/>
        </w:rPr>
      </w:pPr>
      <w:r>
        <w:rPr>
          <w:lang w:val="el-GR"/>
        </w:rPr>
        <w:t xml:space="preserve">Οι καθιζήσεις και οι υπερπιέσεις πόρων που </w:t>
      </w:r>
      <w:r w:rsidR="00AB36E8">
        <w:rPr>
          <w:lang w:val="el-GR"/>
        </w:rPr>
        <w:t>αναπτύσσονται</w:t>
      </w:r>
      <w:r>
        <w:rPr>
          <w:lang w:val="el-GR"/>
        </w:rPr>
        <w:t xml:space="preserve"> σε καθένα από τα δοκίμια αμέσως μετά την εφαρμογή του φορτίου</w:t>
      </w:r>
    </w:p>
    <w:p w:rsidR="00BC4C45" w:rsidRDefault="00BC4C45" w:rsidP="00BC4C45">
      <w:pPr>
        <w:pStyle w:val="ListParagraph"/>
        <w:numPr>
          <w:ilvl w:val="0"/>
          <w:numId w:val="2"/>
        </w:numPr>
        <w:rPr>
          <w:lang w:val="el-GR"/>
        </w:rPr>
      </w:pPr>
      <w:r>
        <w:rPr>
          <w:lang w:val="el-GR"/>
        </w:rPr>
        <w:t xml:space="preserve">Σε ποιο από τα δοκίμια ολοκληρώνεται νωρίτερα η </w:t>
      </w:r>
      <w:r w:rsidR="00AB36E8">
        <w:rPr>
          <w:lang w:val="el-GR"/>
        </w:rPr>
        <w:t>στερεοποίηση</w:t>
      </w:r>
      <w:r>
        <w:rPr>
          <w:lang w:val="el-GR"/>
        </w:rPr>
        <w:t>;</w:t>
      </w:r>
    </w:p>
    <w:p w:rsidR="00BC4C45" w:rsidRDefault="00BC4C45" w:rsidP="00BC4C45">
      <w:pPr>
        <w:pStyle w:val="ListParagraph"/>
        <w:numPr>
          <w:ilvl w:val="0"/>
          <w:numId w:val="2"/>
        </w:numPr>
        <w:rPr>
          <w:lang w:val="el-GR"/>
        </w:rPr>
      </w:pPr>
      <w:r>
        <w:rPr>
          <w:lang w:val="el-GR"/>
        </w:rPr>
        <w:t>(Σε πρώτη προσέγγιση) Ποίος είναι περίπου ο χρόνος αυτός;</w:t>
      </w:r>
    </w:p>
    <w:p w:rsidR="00BC4C45" w:rsidRDefault="00BC4C45" w:rsidP="00BC4C45">
      <w:pPr>
        <w:pStyle w:val="ListParagraph"/>
        <w:numPr>
          <w:ilvl w:val="0"/>
          <w:numId w:val="2"/>
        </w:numPr>
        <w:rPr>
          <w:lang w:val="el-GR"/>
        </w:rPr>
      </w:pPr>
      <w:r>
        <w:rPr>
          <w:lang w:val="el-GR"/>
        </w:rPr>
        <w:t>Σε ποιο δοκίμιο είναι μεγαλύτερη η τελική καθίζηση και πόση είναι αυτή;</w:t>
      </w:r>
    </w:p>
    <w:p w:rsidR="00BE3320" w:rsidRDefault="00BE3320" w:rsidP="00BE3320">
      <w:pPr>
        <w:rPr>
          <w:b/>
          <w:vertAlign w:val="superscript"/>
          <w:lang w:val="el-GR"/>
        </w:rPr>
      </w:pPr>
      <w:r w:rsidRPr="00BE3320">
        <w:rPr>
          <w:b/>
          <w:lang w:val="el-GR"/>
        </w:rPr>
        <w:t>Θέμα 5</w:t>
      </w:r>
      <w:r w:rsidRPr="00BE3320">
        <w:rPr>
          <w:b/>
          <w:vertAlign w:val="superscript"/>
          <w:lang w:val="el-GR"/>
        </w:rPr>
        <w:t>ο</w:t>
      </w:r>
    </w:p>
    <w:p w:rsidR="00BE3320" w:rsidRDefault="00BE3320" w:rsidP="00BE3320">
      <w:pPr>
        <w:rPr>
          <w:lang w:val="el-GR"/>
        </w:rPr>
      </w:pPr>
      <w:r>
        <w:rPr>
          <w:lang w:val="el-GR"/>
        </w:rPr>
        <w:t>Ποια τα αίτια ανάπτυξης πίεσης πόρων στον πυθμένα λίμνης (βάθος 4</w:t>
      </w:r>
      <w:r>
        <w:t>m</w:t>
      </w:r>
      <w:r>
        <w:rPr>
          <w:lang w:val="el-GR"/>
        </w:rPr>
        <w:t>) στις ακόλουθες περιπτώσεις:</w:t>
      </w:r>
    </w:p>
    <w:p w:rsidR="00BE3320" w:rsidRDefault="00BE3320" w:rsidP="00BE3320">
      <w:pPr>
        <w:pStyle w:val="ListParagraph"/>
        <w:numPr>
          <w:ilvl w:val="0"/>
          <w:numId w:val="3"/>
        </w:numPr>
        <w:rPr>
          <w:lang w:val="el-GR"/>
        </w:rPr>
      </w:pPr>
      <w:r>
        <w:rPr>
          <w:lang w:val="el-GR"/>
        </w:rPr>
        <w:t>Υδροστατική κατάσταση</w:t>
      </w:r>
    </w:p>
    <w:p w:rsidR="00BE3320" w:rsidRDefault="00BE3320" w:rsidP="00BE3320">
      <w:pPr>
        <w:pStyle w:val="ListParagraph"/>
        <w:numPr>
          <w:ilvl w:val="0"/>
          <w:numId w:val="3"/>
        </w:numPr>
        <w:rPr>
          <w:lang w:val="el-GR"/>
        </w:rPr>
      </w:pPr>
      <w:r>
        <w:rPr>
          <w:lang w:val="el-GR"/>
        </w:rPr>
        <w:t>Άντληση ύδατος από οριζόντιο επίπεδο σε βάθος 10</w:t>
      </w:r>
      <w:r w:rsidRPr="00BE3320">
        <w:rPr>
          <w:lang w:val="el-GR"/>
        </w:rPr>
        <w:t xml:space="preserve"> </w:t>
      </w:r>
      <w:r>
        <w:t>m</w:t>
      </w:r>
    </w:p>
    <w:p w:rsidR="00AB36E8" w:rsidRDefault="00AB36E8" w:rsidP="00BE3320">
      <w:pPr>
        <w:pStyle w:val="ListParagraph"/>
        <w:numPr>
          <w:ilvl w:val="0"/>
          <w:numId w:val="3"/>
        </w:numPr>
        <w:rPr>
          <w:lang w:val="el-GR"/>
        </w:rPr>
      </w:pPr>
      <w:r>
        <w:rPr>
          <w:lang w:val="el-GR"/>
        </w:rPr>
        <w:lastRenderedPageBreak/>
        <w:t>Εφαρμογή ομοιομόρφου φορτίου σε μεγάλη έκταση</w:t>
      </w:r>
    </w:p>
    <w:p w:rsidR="0021577B" w:rsidRPr="00BE3320" w:rsidRDefault="0021577B" w:rsidP="00BE3320">
      <w:pPr>
        <w:pStyle w:val="ListParagraph"/>
        <w:numPr>
          <w:ilvl w:val="0"/>
          <w:numId w:val="3"/>
        </w:numPr>
        <w:rPr>
          <w:lang w:val="el-GR"/>
        </w:rPr>
      </w:pPr>
      <w:r>
        <w:rPr>
          <w:lang w:val="el-GR"/>
        </w:rPr>
        <w:t xml:space="preserve">Διάδοση </w:t>
      </w:r>
      <w:proofErr w:type="spellStart"/>
      <w:r>
        <w:rPr>
          <w:lang w:val="el-GR"/>
        </w:rPr>
        <w:t>διατμητικών</w:t>
      </w:r>
      <w:proofErr w:type="spellEnd"/>
      <w:r>
        <w:rPr>
          <w:lang w:val="el-GR"/>
        </w:rPr>
        <w:t xml:space="preserve"> σεισμικών κυμάτων</w:t>
      </w:r>
    </w:p>
    <w:p w:rsidR="00BE3320" w:rsidRPr="00BE3320" w:rsidRDefault="00BE3320" w:rsidP="00BE3320">
      <w:pPr>
        <w:rPr>
          <w:lang w:val="el-GR"/>
        </w:rPr>
      </w:pPr>
    </w:p>
    <w:p w:rsidR="00C63EF8" w:rsidRPr="00C63EF8" w:rsidRDefault="00C63EF8" w:rsidP="000A7C32">
      <w:pPr>
        <w:rPr>
          <w:lang w:val="el-GR"/>
        </w:rPr>
      </w:pPr>
    </w:p>
    <w:sectPr w:rsidR="00C63EF8" w:rsidRPr="00C63EF8" w:rsidSect="008F0C2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24FD2"/>
    <w:multiLevelType w:val="hybridMultilevel"/>
    <w:tmpl w:val="CE7C1814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98C438C"/>
    <w:multiLevelType w:val="hybridMultilevel"/>
    <w:tmpl w:val="4B1E1D08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FB23FE2"/>
    <w:multiLevelType w:val="hybridMultilevel"/>
    <w:tmpl w:val="F45AC37C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0A7C32"/>
    <w:rsid w:val="000A7C32"/>
    <w:rsid w:val="0021577B"/>
    <w:rsid w:val="00277C40"/>
    <w:rsid w:val="00603927"/>
    <w:rsid w:val="00683499"/>
    <w:rsid w:val="008F0C27"/>
    <w:rsid w:val="00AB36E8"/>
    <w:rsid w:val="00B97301"/>
    <w:rsid w:val="00BC4C45"/>
    <w:rsid w:val="00BE3320"/>
    <w:rsid w:val="00C63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4" type="connector" idref="#_x0000_s1032"/>
        <o:r id="V:Rule17" type="connector" idref="#_x0000_s1035"/>
        <o:r id="V:Rule18" type="connector" idref="#_x0000_s1036"/>
        <o:r id="V:Rule19" type="connector" idref="#_x0000_s1037"/>
        <o:r id="V:Rule20" type="connector" idref="#_x0000_s1038"/>
        <o:r id="V:Rule21" type="connector" idref="#_x0000_s1039"/>
        <o:r id="V:Rule22" type="connector" idref="#_x0000_s1040"/>
        <o:r id="V:Rule24" type="connector" idref="#_x0000_s104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DE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C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3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4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C4C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9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1288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Theodor</dc:creator>
  <cp:lastModifiedBy>Theodor</cp:lastModifiedBy>
  <cp:revision>3</cp:revision>
  <dcterms:created xsi:type="dcterms:W3CDTF">2011-10-17T14:29:00Z</dcterms:created>
  <dcterms:modified xsi:type="dcterms:W3CDTF">2011-10-17T15:22:00Z</dcterms:modified>
</cp:coreProperties>
</file>