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88B81A" w14:textId="77777777" w:rsidR="002D4B83" w:rsidRPr="003A52B3" w:rsidRDefault="002D4B83" w:rsidP="00DF6D00">
      <w:pPr>
        <w:spacing w:after="0"/>
        <w:jc w:val="center"/>
        <w:rPr>
          <w:rFonts w:cs="Arial"/>
          <w:b/>
          <w:sz w:val="24"/>
          <w:szCs w:val="24"/>
          <w:lang w:val="el-GR"/>
        </w:rPr>
      </w:pPr>
      <w:r w:rsidRPr="003A52B3">
        <w:rPr>
          <w:rFonts w:cs="Arial"/>
          <w:b/>
          <w:sz w:val="24"/>
          <w:szCs w:val="24"/>
          <w:lang w:val="el-GR"/>
        </w:rPr>
        <w:t xml:space="preserve">ΣΧΟΛΙΑ </w:t>
      </w:r>
      <w:r w:rsidR="002E3E63" w:rsidRPr="003A52B3">
        <w:rPr>
          <w:rFonts w:cs="Arial"/>
          <w:b/>
          <w:sz w:val="24"/>
          <w:szCs w:val="24"/>
          <w:lang w:val="el-GR"/>
        </w:rPr>
        <w:t>ΤΟΜΕΑ ΔΟΜΟΣΤΑΤΙΚΗΣ</w:t>
      </w:r>
    </w:p>
    <w:p w14:paraId="2A0B8587" w14:textId="77777777" w:rsidR="002D4B83" w:rsidRPr="003A52B3" w:rsidRDefault="002D4B83" w:rsidP="00DF6D00">
      <w:pPr>
        <w:spacing w:after="0"/>
        <w:jc w:val="center"/>
        <w:rPr>
          <w:rFonts w:cs="Arial"/>
          <w:b/>
          <w:sz w:val="24"/>
          <w:szCs w:val="24"/>
          <w:lang w:val="el-GR"/>
        </w:rPr>
      </w:pPr>
      <w:r w:rsidRPr="003A52B3">
        <w:rPr>
          <w:rFonts w:cs="Arial"/>
          <w:b/>
          <w:sz w:val="24"/>
          <w:szCs w:val="24"/>
          <w:lang w:val="el-GR"/>
        </w:rPr>
        <w:t>επί της ΕΙΣΗΓΗΣΗΣ της ΕΠΣ για το</w:t>
      </w:r>
    </w:p>
    <w:p w14:paraId="170E5BD8" w14:textId="77777777" w:rsidR="002D4B83" w:rsidRPr="003A52B3" w:rsidRDefault="002D4B83" w:rsidP="00DF6D00">
      <w:pPr>
        <w:spacing w:after="0"/>
        <w:jc w:val="center"/>
        <w:rPr>
          <w:rFonts w:cs="Arial"/>
          <w:b/>
          <w:sz w:val="24"/>
          <w:szCs w:val="24"/>
          <w:lang w:val="el-GR"/>
        </w:rPr>
      </w:pPr>
      <w:r w:rsidRPr="003A52B3">
        <w:rPr>
          <w:rFonts w:cs="Arial"/>
          <w:b/>
          <w:sz w:val="24"/>
          <w:szCs w:val="24"/>
          <w:lang w:val="el-GR"/>
        </w:rPr>
        <w:t>ΝΕΟ ΠΡΟΓΡΑΜΜΑ ΣΠΟΥΔΩΝ (ΝΠΣ)</w:t>
      </w:r>
    </w:p>
    <w:p w14:paraId="1CE6321B" w14:textId="77777777" w:rsidR="002D4B83" w:rsidRPr="003A52B3" w:rsidRDefault="002D4B83" w:rsidP="00DF6D00">
      <w:pPr>
        <w:spacing w:after="0"/>
        <w:jc w:val="center"/>
        <w:rPr>
          <w:rFonts w:cs="Arial"/>
          <w:b/>
          <w:sz w:val="24"/>
          <w:szCs w:val="24"/>
          <w:lang w:val="el-GR"/>
        </w:rPr>
      </w:pPr>
      <w:r w:rsidRPr="003A52B3">
        <w:rPr>
          <w:rFonts w:cs="Arial"/>
          <w:b/>
          <w:sz w:val="24"/>
          <w:szCs w:val="24"/>
          <w:lang w:val="el-GR"/>
        </w:rPr>
        <w:t>της ΣΧΟΛΗΣ ΠΟΛΙΤΙΚΩΝ ΜΗΧΑΝΙΚΩΝ Ε.Μ.Π.</w:t>
      </w:r>
    </w:p>
    <w:p w14:paraId="461CF7F8" w14:textId="77777777" w:rsidR="00D8277C" w:rsidRPr="003A52B3" w:rsidRDefault="00D8277C" w:rsidP="00D8277C">
      <w:pPr>
        <w:spacing w:after="0"/>
        <w:jc w:val="both"/>
        <w:rPr>
          <w:rFonts w:cs="Arial"/>
          <w:lang w:val="el-GR"/>
        </w:rPr>
      </w:pPr>
    </w:p>
    <w:p w14:paraId="6061CDD8" w14:textId="19B09941" w:rsidR="00D8277C" w:rsidRPr="00B221F4" w:rsidRDefault="00D8277C" w:rsidP="00B221F4">
      <w:pPr>
        <w:spacing w:before="120" w:after="0"/>
        <w:jc w:val="both"/>
        <w:rPr>
          <w:rFonts w:cs="Arial"/>
          <w:lang w:val="el-GR"/>
        </w:rPr>
      </w:pPr>
      <w:r w:rsidRPr="00B221F4">
        <w:rPr>
          <w:rFonts w:cs="Arial"/>
          <w:lang w:val="el-GR"/>
        </w:rPr>
        <w:t>Σε συνέχεια της απόφασης της Σχολής σχετικά με τη μείωση του αριθμού των μαθημάτων</w:t>
      </w:r>
      <w:r w:rsidR="003A50F4" w:rsidRPr="00B221F4">
        <w:rPr>
          <w:rFonts w:cs="Arial"/>
          <w:lang w:val="el-GR"/>
        </w:rPr>
        <w:t>,</w:t>
      </w:r>
      <w:r w:rsidRPr="00B221F4">
        <w:rPr>
          <w:rFonts w:cs="Arial"/>
          <w:lang w:val="el-GR"/>
        </w:rPr>
        <w:t xml:space="preserve"> η ΕΠΣ παρουσίασε δύο προτεινόμενα Προγράμματα Σπουδών (Σχέδιο 1 και Σχέδιο 2). Τα δύο σχέδια αφορούν τα 7 πρώτα εξάμηνα μαθημάτων</w:t>
      </w:r>
      <w:r w:rsidR="00230CEF">
        <w:rPr>
          <w:rFonts w:cs="Arial"/>
          <w:lang w:val="el-GR"/>
        </w:rPr>
        <w:t>,</w:t>
      </w:r>
      <w:r w:rsidR="003A50F4" w:rsidRPr="00B221F4">
        <w:rPr>
          <w:rFonts w:cs="Arial"/>
          <w:lang w:val="el-GR"/>
        </w:rPr>
        <w:t xml:space="preserve"> ενώ </w:t>
      </w:r>
      <w:r w:rsidR="008D12DE" w:rsidRPr="00B221F4">
        <w:rPr>
          <w:rFonts w:cs="Arial"/>
          <w:lang w:val="el-GR"/>
        </w:rPr>
        <w:t>δίνονται γενικοί κανόνες πώς θα γ</w:t>
      </w:r>
      <w:r w:rsidR="00CE66E5" w:rsidRPr="00B221F4">
        <w:rPr>
          <w:rFonts w:cs="Arial"/>
          <w:lang w:val="el-GR"/>
        </w:rPr>
        <w:t>ίνει η ε</w:t>
      </w:r>
      <w:r w:rsidR="008D12DE" w:rsidRPr="00B221F4">
        <w:rPr>
          <w:rFonts w:cs="Arial"/>
          <w:lang w:val="el-GR"/>
        </w:rPr>
        <w:t xml:space="preserve">πιλογή </w:t>
      </w:r>
      <w:r w:rsidR="003A50F4" w:rsidRPr="00B221F4">
        <w:rPr>
          <w:rFonts w:cs="Arial"/>
          <w:lang w:val="el-GR"/>
        </w:rPr>
        <w:t>των μαθημάτων κατεύθυνσης στα τελευταία εξάμηνα</w:t>
      </w:r>
      <w:r w:rsidRPr="00B221F4">
        <w:rPr>
          <w:rFonts w:cs="Arial"/>
          <w:lang w:val="el-GR"/>
        </w:rPr>
        <w:t>.</w:t>
      </w:r>
    </w:p>
    <w:p w14:paraId="56B63730" w14:textId="198B4785" w:rsidR="00676A39" w:rsidRPr="00B221F4" w:rsidRDefault="00676D01" w:rsidP="00B221F4">
      <w:pPr>
        <w:spacing w:before="120" w:after="0"/>
        <w:jc w:val="both"/>
        <w:rPr>
          <w:rFonts w:cs="Arial"/>
          <w:lang w:val="el-GR"/>
        </w:rPr>
      </w:pPr>
      <w:r w:rsidRPr="00B221F4">
        <w:rPr>
          <w:rFonts w:cs="Arial"/>
          <w:lang w:val="el-GR"/>
        </w:rPr>
        <w:t xml:space="preserve">Παρότι ο Τομέας Δομοστατικής </w:t>
      </w:r>
      <w:r w:rsidR="002D7AFF">
        <w:rPr>
          <w:rFonts w:cs="Arial"/>
          <w:lang w:val="el-GR"/>
        </w:rPr>
        <w:t>συμφων</w:t>
      </w:r>
      <w:r w:rsidRPr="00B221F4">
        <w:rPr>
          <w:rFonts w:cs="Arial"/>
          <w:lang w:val="el-GR"/>
        </w:rPr>
        <w:t xml:space="preserve">εί ότι χρειάζεται αναμόρφωση του Προγράμματος Σπουδών, για τους λόγους που αναπτύσσονται παρακάτω </w:t>
      </w:r>
      <w:r w:rsidRPr="00D76F43">
        <w:rPr>
          <w:rFonts w:cs="Arial"/>
          <w:b/>
          <w:lang w:val="el-GR"/>
        </w:rPr>
        <w:t>απορρίπτει</w:t>
      </w:r>
      <w:r w:rsidRPr="00B221F4">
        <w:rPr>
          <w:rFonts w:cs="Arial"/>
          <w:lang w:val="el-GR"/>
        </w:rPr>
        <w:t xml:space="preserve"> τα σχέδια του Νέου Προγράμματος Σπουδών (ΝΠΣ) στη μορφή που υποβλήθηκαν. </w:t>
      </w:r>
    </w:p>
    <w:p w14:paraId="48025FF0" w14:textId="43AC9BA2" w:rsidR="0097556D" w:rsidRPr="00B221F4" w:rsidRDefault="00CE66E5" w:rsidP="00B221F4">
      <w:pPr>
        <w:spacing w:before="120" w:after="0"/>
        <w:jc w:val="both"/>
        <w:rPr>
          <w:lang w:val="el-GR"/>
        </w:rPr>
      </w:pPr>
      <w:r w:rsidRPr="00B221F4">
        <w:rPr>
          <w:rFonts w:cs="Arial"/>
          <w:lang w:val="el-GR"/>
        </w:rPr>
        <w:t>Κατά την άποψη το</w:t>
      </w:r>
      <w:r w:rsidR="0097556D" w:rsidRPr="00B221F4">
        <w:rPr>
          <w:rFonts w:cs="Arial"/>
          <w:lang w:val="el-GR"/>
        </w:rPr>
        <w:t>υ Τομέα</w:t>
      </w:r>
      <w:r w:rsidR="00B221F4">
        <w:rPr>
          <w:rFonts w:cs="Arial"/>
          <w:lang w:val="el-GR"/>
        </w:rPr>
        <w:t xml:space="preserve"> Δομοστατικής</w:t>
      </w:r>
      <w:r w:rsidR="009F6A87">
        <w:rPr>
          <w:rFonts w:cs="Arial"/>
          <w:lang w:val="el-GR"/>
        </w:rPr>
        <w:t>,</w:t>
      </w:r>
      <w:r w:rsidR="0097556D" w:rsidRPr="00B221F4">
        <w:rPr>
          <w:rFonts w:cs="Arial"/>
          <w:lang w:val="el-GR"/>
        </w:rPr>
        <w:t xml:space="preserve"> </w:t>
      </w:r>
      <w:r w:rsidR="0097556D" w:rsidRPr="00B221F4">
        <w:rPr>
          <w:lang w:val="el-GR"/>
        </w:rPr>
        <w:t>η Σχολή Πολιτικών Μηχανικών</w:t>
      </w:r>
      <w:r w:rsidR="00C02461" w:rsidRPr="00B221F4">
        <w:rPr>
          <w:lang w:val="el-GR"/>
        </w:rPr>
        <w:t>, παρά τις αντιξοότητες που όλοι γνωρίζουμε,</w:t>
      </w:r>
      <w:r w:rsidR="0097556D" w:rsidRPr="00B221F4">
        <w:rPr>
          <w:lang w:val="el-GR"/>
        </w:rPr>
        <w:t xml:space="preserve"> </w:t>
      </w:r>
      <w:r w:rsidR="0097556D" w:rsidRPr="00B221F4">
        <w:rPr>
          <w:bCs/>
          <w:lang w:val="el-GR"/>
        </w:rPr>
        <w:t>«παράγει» ένα μικρό ποσοστό αποφοίτων εξαιρετικά υψηλού επιπέδου και ένα σημαντικό ποσοστό αποφοίτων υψηλού επιπέδου, στους οποίους οφείλ</w:t>
      </w:r>
      <w:r w:rsidR="00B221F4">
        <w:rPr>
          <w:bCs/>
          <w:lang w:val="el-GR"/>
        </w:rPr>
        <w:t>εται η καλή φήμη της Σχολής σε Π</w:t>
      </w:r>
      <w:r w:rsidR="0097556D" w:rsidRPr="00B221F4">
        <w:rPr>
          <w:bCs/>
          <w:lang w:val="el-GR"/>
        </w:rPr>
        <w:t xml:space="preserve">ανεπιστήμια του εξωτερικού, η στελέχωση ερευνητικών ομάδων </w:t>
      </w:r>
      <w:r w:rsidR="00230CEF">
        <w:rPr>
          <w:bCs/>
          <w:lang w:val="el-GR"/>
        </w:rPr>
        <w:t xml:space="preserve">της Σχολής και ευρύτερα </w:t>
      </w:r>
      <w:r w:rsidR="0097556D" w:rsidRPr="00B221F4">
        <w:rPr>
          <w:bCs/>
          <w:lang w:val="el-GR"/>
        </w:rPr>
        <w:t xml:space="preserve">και η σαφής υπεροχή της Σχολής στον Ελληνικό τεχνικό κόσμο. Η φήμη αυτή επεκτείνεται και σε διεθνείς κύκλους, όπως αποτυπώνεται από την εξαιρετική αξιολόγηση της κατάταξης </w:t>
      </w:r>
      <w:r w:rsidR="0097556D" w:rsidRPr="00B221F4">
        <w:rPr>
          <w:bCs/>
        </w:rPr>
        <w:t>QS</w:t>
      </w:r>
      <w:r w:rsidR="00B221F4">
        <w:rPr>
          <w:bCs/>
          <w:lang w:val="el-GR"/>
        </w:rPr>
        <w:t xml:space="preserve"> και,</w:t>
      </w:r>
      <w:r w:rsidR="0097556D" w:rsidRPr="00B221F4">
        <w:rPr>
          <w:bCs/>
          <w:lang w:val="el-GR"/>
        </w:rPr>
        <w:t xml:space="preserve"> κυρίως</w:t>
      </w:r>
      <w:r w:rsidR="00B221F4">
        <w:rPr>
          <w:bCs/>
          <w:lang w:val="el-GR"/>
        </w:rPr>
        <w:t>,</w:t>
      </w:r>
      <w:r w:rsidR="0097556D" w:rsidRPr="00B221F4">
        <w:rPr>
          <w:bCs/>
          <w:lang w:val="el-GR"/>
        </w:rPr>
        <w:t xml:space="preserve"> από </w:t>
      </w:r>
      <w:r w:rsidR="00B221F4">
        <w:rPr>
          <w:bCs/>
          <w:lang w:val="el-GR"/>
        </w:rPr>
        <w:t xml:space="preserve">την </w:t>
      </w:r>
      <w:r w:rsidR="0097556D" w:rsidRPr="00B221F4">
        <w:rPr>
          <w:bCs/>
          <w:lang w:val="el-GR"/>
        </w:rPr>
        <w:t>εξαιρετική φήμη που έχουν οι Έλληνες μηχανικοί στο διεθνή χώρο</w:t>
      </w:r>
      <w:r w:rsidR="00230CEF">
        <w:rPr>
          <w:bCs/>
          <w:lang w:val="el-GR"/>
        </w:rPr>
        <w:t>, η οποία αποτελεί μοναδική διέξοδο για πολύ μεγάλο αριθμό αποφοίτων μας κατά τα τελευταία χρόνια</w:t>
      </w:r>
      <w:r w:rsidR="0097556D" w:rsidRPr="00B221F4">
        <w:rPr>
          <w:bCs/>
          <w:lang w:val="el-GR"/>
        </w:rPr>
        <w:t>.</w:t>
      </w:r>
      <w:r w:rsidR="00C02461" w:rsidRPr="00B221F4">
        <w:rPr>
          <w:bCs/>
          <w:lang w:val="el-GR"/>
        </w:rPr>
        <w:t xml:space="preserve"> </w:t>
      </w:r>
      <w:r w:rsidR="00676A39" w:rsidRPr="00B221F4">
        <w:rPr>
          <w:bCs/>
          <w:lang w:val="el-GR"/>
        </w:rPr>
        <w:t xml:space="preserve">Τα πιο πάνω θετικά στοιχεία αναμφισβήτητα οφείλονται και στο υφιστάμενο </w:t>
      </w:r>
      <w:r w:rsidR="00B221F4">
        <w:rPr>
          <w:bCs/>
          <w:lang w:val="el-GR"/>
        </w:rPr>
        <w:t>Π</w:t>
      </w:r>
      <w:r w:rsidR="00676A39" w:rsidRPr="00B221F4">
        <w:rPr>
          <w:bCs/>
          <w:lang w:val="el-GR"/>
        </w:rPr>
        <w:t xml:space="preserve">ρόγραμμα </w:t>
      </w:r>
      <w:r w:rsidR="00B221F4">
        <w:rPr>
          <w:bCs/>
          <w:lang w:val="el-GR"/>
        </w:rPr>
        <w:t>Σ</w:t>
      </w:r>
      <w:r w:rsidR="00676A39" w:rsidRPr="00B221F4">
        <w:rPr>
          <w:bCs/>
          <w:lang w:val="el-GR"/>
        </w:rPr>
        <w:t>πουδών.</w:t>
      </w:r>
      <w:r w:rsidR="00EE59E1" w:rsidRPr="00B221F4">
        <w:rPr>
          <w:bCs/>
          <w:lang w:val="el-GR"/>
        </w:rPr>
        <w:t xml:space="preserve"> Πιστεύουμ</w:t>
      </w:r>
      <w:r w:rsidR="00B221F4">
        <w:rPr>
          <w:bCs/>
          <w:lang w:val="el-GR"/>
        </w:rPr>
        <w:t>ε ότι αυτά τα χαρακτηριστικά η</w:t>
      </w:r>
      <w:r w:rsidR="00EE59E1" w:rsidRPr="00B221F4">
        <w:rPr>
          <w:bCs/>
          <w:lang w:val="el-GR"/>
        </w:rPr>
        <w:t xml:space="preserve"> Σχολή πρέπει </w:t>
      </w:r>
      <w:r w:rsidR="00B221F4" w:rsidRPr="00D76F43">
        <w:rPr>
          <w:b/>
          <w:bCs/>
          <w:lang w:val="el-GR"/>
        </w:rPr>
        <w:t>οπωσδήποτε</w:t>
      </w:r>
      <w:r w:rsidR="00B221F4" w:rsidRPr="00B221F4">
        <w:rPr>
          <w:bCs/>
          <w:lang w:val="el-GR"/>
        </w:rPr>
        <w:t xml:space="preserve"> </w:t>
      </w:r>
      <w:r w:rsidR="00EE59E1" w:rsidRPr="00B221F4">
        <w:rPr>
          <w:bCs/>
          <w:lang w:val="el-GR"/>
        </w:rPr>
        <w:t>να τα διατηρήσει.</w:t>
      </w:r>
    </w:p>
    <w:p w14:paraId="049739C6" w14:textId="0BD2F4DD" w:rsidR="00D8277C" w:rsidRPr="00B221F4" w:rsidRDefault="00676D01" w:rsidP="00B221F4">
      <w:pPr>
        <w:spacing w:before="120" w:after="0"/>
        <w:jc w:val="both"/>
        <w:rPr>
          <w:rFonts w:cs="Arial"/>
          <w:lang w:val="el-GR"/>
        </w:rPr>
      </w:pPr>
      <w:r w:rsidRPr="00B221F4">
        <w:rPr>
          <w:rFonts w:cs="Arial"/>
          <w:lang w:val="el-GR"/>
        </w:rPr>
        <w:t xml:space="preserve">Τα σχόλια </w:t>
      </w:r>
      <w:r w:rsidR="00B221F4">
        <w:rPr>
          <w:rFonts w:cs="Arial"/>
          <w:lang w:val="el-GR"/>
        </w:rPr>
        <w:t xml:space="preserve">επί του ΝΠΣ </w:t>
      </w:r>
      <w:r w:rsidRPr="00B221F4">
        <w:rPr>
          <w:rFonts w:cs="Arial"/>
          <w:lang w:val="el-GR"/>
        </w:rPr>
        <w:t>που</w:t>
      </w:r>
      <w:r w:rsidR="00D8277C" w:rsidRPr="00B221F4">
        <w:rPr>
          <w:rFonts w:cs="Arial"/>
          <w:lang w:val="el-GR"/>
        </w:rPr>
        <w:t xml:space="preserve"> ακολουθούν χωρίζονται σε </w:t>
      </w:r>
      <w:r w:rsidR="003A50F4" w:rsidRPr="00B221F4">
        <w:rPr>
          <w:rFonts w:cs="Arial"/>
          <w:lang w:val="el-GR"/>
        </w:rPr>
        <w:t>δύο</w:t>
      </w:r>
      <w:r w:rsidR="00D8277C" w:rsidRPr="00B221F4">
        <w:rPr>
          <w:rFonts w:cs="Arial"/>
          <w:lang w:val="el-GR"/>
        </w:rPr>
        <w:t xml:space="preserve"> ενότητες</w:t>
      </w:r>
      <w:r w:rsidRPr="00B221F4">
        <w:rPr>
          <w:rFonts w:cs="Arial"/>
          <w:lang w:val="el-GR"/>
        </w:rPr>
        <w:t>:</w:t>
      </w:r>
      <w:r w:rsidR="00D8277C" w:rsidRPr="00B221F4">
        <w:rPr>
          <w:rFonts w:cs="Arial"/>
          <w:lang w:val="el-GR"/>
        </w:rPr>
        <w:t xml:space="preserve"> Η πρώτη αφορά</w:t>
      </w:r>
      <w:r w:rsidR="003A50F4" w:rsidRPr="00B221F4">
        <w:rPr>
          <w:rFonts w:cs="Arial"/>
          <w:lang w:val="el-GR"/>
        </w:rPr>
        <w:t xml:space="preserve"> σε</w:t>
      </w:r>
      <w:r w:rsidR="00D8277C" w:rsidRPr="00B221F4">
        <w:rPr>
          <w:rFonts w:cs="Arial"/>
          <w:lang w:val="el-GR"/>
        </w:rPr>
        <w:t xml:space="preserve"> γενικά σχόλια και η δεύτερη</w:t>
      </w:r>
      <w:r w:rsidR="003A50F4" w:rsidRPr="00B221F4">
        <w:rPr>
          <w:rFonts w:cs="Arial"/>
          <w:lang w:val="el-GR"/>
        </w:rPr>
        <w:t xml:space="preserve"> σε</w:t>
      </w:r>
      <w:r w:rsidR="00D8277C" w:rsidRPr="00B221F4">
        <w:rPr>
          <w:rFonts w:cs="Arial"/>
          <w:lang w:val="el-GR"/>
        </w:rPr>
        <w:t xml:space="preserve"> ειδικά σχόλια </w:t>
      </w:r>
      <w:r w:rsidR="003A50F4" w:rsidRPr="00B221F4">
        <w:rPr>
          <w:rFonts w:cs="Arial"/>
          <w:lang w:val="el-GR"/>
        </w:rPr>
        <w:t>για</w:t>
      </w:r>
      <w:r w:rsidR="00D8277C" w:rsidRPr="00B221F4">
        <w:rPr>
          <w:rFonts w:cs="Arial"/>
          <w:lang w:val="el-GR"/>
        </w:rPr>
        <w:t xml:space="preserve"> συγκεκριμένα μαθήματα. </w:t>
      </w:r>
    </w:p>
    <w:p w14:paraId="3890069F" w14:textId="77777777" w:rsidR="002D4B83" w:rsidRPr="00B221F4" w:rsidRDefault="002D4B83" w:rsidP="00B221F4">
      <w:pPr>
        <w:spacing w:before="120" w:after="0"/>
        <w:rPr>
          <w:rFonts w:cs="Arial"/>
          <w:lang w:val="el-GR"/>
        </w:rPr>
      </w:pPr>
    </w:p>
    <w:p w14:paraId="085AC341" w14:textId="77777777" w:rsidR="002D4B83" w:rsidRPr="00B221F4" w:rsidRDefault="00D8277C" w:rsidP="00B221F4">
      <w:pPr>
        <w:spacing w:before="120" w:after="0"/>
        <w:rPr>
          <w:rFonts w:cs="Arial"/>
          <w:b/>
          <w:lang w:val="el-GR"/>
        </w:rPr>
      </w:pPr>
      <w:r w:rsidRPr="00B221F4">
        <w:rPr>
          <w:rFonts w:cs="Arial"/>
          <w:b/>
          <w:lang w:val="el-GR"/>
        </w:rPr>
        <w:t>Γενικά Σχόλια</w:t>
      </w:r>
    </w:p>
    <w:p w14:paraId="53CD3C52" w14:textId="44EC97FF" w:rsidR="003A50F4" w:rsidRPr="00B221F4" w:rsidRDefault="003A50F4" w:rsidP="00F20985">
      <w:pPr>
        <w:pStyle w:val="ListParagraph"/>
        <w:numPr>
          <w:ilvl w:val="0"/>
          <w:numId w:val="3"/>
        </w:numPr>
        <w:spacing w:before="120" w:after="0"/>
        <w:ind w:left="426" w:hanging="426"/>
        <w:jc w:val="both"/>
        <w:rPr>
          <w:rFonts w:cs="Arial"/>
          <w:lang w:val="el-GR"/>
        </w:rPr>
      </w:pPr>
      <w:r w:rsidRPr="00B221F4">
        <w:rPr>
          <w:rFonts w:cs="Arial"/>
          <w:lang w:val="el-GR"/>
        </w:rPr>
        <w:t xml:space="preserve">Το </w:t>
      </w:r>
      <w:r w:rsidR="00F20985">
        <w:rPr>
          <w:rFonts w:cs="Arial"/>
          <w:lang w:val="el-GR"/>
        </w:rPr>
        <w:t>Π</w:t>
      </w:r>
      <w:r w:rsidRPr="00B221F4">
        <w:rPr>
          <w:rFonts w:cs="Arial"/>
          <w:lang w:val="el-GR"/>
        </w:rPr>
        <w:t xml:space="preserve">ρόγραμμα </w:t>
      </w:r>
      <w:r w:rsidR="00F20985">
        <w:rPr>
          <w:rFonts w:cs="Arial"/>
          <w:lang w:val="el-GR"/>
        </w:rPr>
        <w:t>Σπουδών</w:t>
      </w:r>
      <w:r w:rsidRPr="00B221F4">
        <w:rPr>
          <w:rFonts w:cs="Arial"/>
          <w:lang w:val="el-GR"/>
        </w:rPr>
        <w:t xml:space="preserve"> </w:t>
      </w:r>
      <w:r w:rsidR="00F20985">
        <w:rPr>
          <w:rFonts w:cs="Arial"/>
          <w:lang w:val="el-GR"/>
        </w:rPr>
        <w:t>δεν μπορεί</w:t>
      </w:r>
      <w:r w:rsidRPr="00B221F4">
        <w:rPr>
          <w:rFonts w:cs="Arial"/>
          <w:lang w:val="el-GR"/>
        </w:rPr>
        <w:t xml:space="preserve"> να </w:t>
      </w:r>
      <w:r w:rsidR="00F20985">
        <w:rPr>
          <w:rFonts w:cs="Arial"/>
          <w:lang w:val="el-GR"/>
        </w:rPr>
        <w:t>αξιολογηθ</w:t>
      </w:r>
      <w:r w:rsidRPr="00B221F4">
        <w:rPr>
          <w:rFonts w:cs="Arial"/>
          <w:lang w:val="el-GR"/>
        </w:rPr>
        <w:t xml:space="preserve">εί και να εγκριθεί </w:t>
      </w:r>
      <w:r w:rsidR="00D76F43">
        <w:rPr>
          <w:rFonts w:cs="Arial"/>
          <w:lang w:val="el-GR"/>
        </w:rPr>
        <w:t>κατά φάσεις</w:t>
      </w:r>
      <w:r w:rsidRPr="00B221F4">
        <w:rPr>
          <w:rFonts w:cs="Arial"/>
          <w:lang w:val="el-GR"/>
        </w:rPr>
        <w:t xml:space="preserve">, δηλαδή πρώτα </w:t>
      </w:r>
      <w:r w:rsidR="006A1F46">
        <w:rPr>
          <w:rFonts w:cs="Arial"/>
          <w:lang w:val="el-GR"/>
        </w:rPr>
        <w:t xml:space="preserve">να εγκριθούν </w:t>
      </w:r>
      <w:r w:rsidRPr="00B221F4">
        <w:rPr>
          <w:rFonts w:cs="Arial"/>
          <w:lang w:val="el-GR"/>
        </w:rPr>
        <w:t xml:space="preserve">τα μαθήματα κορμού </w:t>
      </w:r>
      <w:r w:rsidR="002362B2">
        <w:rPr>
          <w:rFonts w:cs="Arial"/>
          <w:lang w:val="el-GR"/>
        </w:rPr>
        <w:t xml:space="preserve">των κατώτερων εξαμήνων </w:t>
      </w:r>
      <w:r w:rsidRPr="00B221F4">
        <w:rPr>
          <w:rFonts w:cs="Arial"/>
          <w:lang w:val="el-GR"/>
        </w:rPr>
        <w:t>και σε δεύτερη φάση τα μαθήματα κατεύθυνσης</w:t>
      </w:r>
      <w:r w:rsidR="002362B2">
        <w:rPr>
          <w:rFonts w:cs="Arial"/>
          <w:lang w:val="el-GR"/>
        </w:rPr>
        <w:t xml:space="preserve"> των ανώτερων εξαμήνων</w:t>
      </w:r>
      <w:r w:rsidR="00F20985">
        <w:rPr>
          <w:rFonts w:cs="Arial"/>
          <w:lang w:val="el-GR"/>
        </w:rPr>
        <w:t xml:space="preserve">, αλλά πρέπει </w:t>
      </w:r>
      <w:r w:rsidR="00161F55">
        <w:rPr>
          <w:rFonts w:cs="Arial"/>
          <w:lang w:val="el-GR"/>
        </w:rPr>
        <w:t xml:space="preserve">αυτό </w:t>
      </w:r>
      <w:r w:rsidR="00F20985">
        <w:rPr>
          <w:rFonts w:cs="Arial"/>
          <w:lang w:val="el-GR"/>
        </w:rPr>
        <w:t xml:space="preserve">να γίνει </w:t>
      </w:r>
      <w:r w:rsidR="00F20985" w:rsidRPr="00B221F4">
        <w:rPr>
          <w:rFonts w:cs="Arial"/>
          <w:b/>
          <w:lang w:val="el-GR"/>
        </w:rPr>
        <w:t>συνολικά</w:t>
      </w:r>
      <w:r w:rsidR="00F20985" w:rsidRPr="002362B2">
        <w:rPr>
          <w:rFonts w:cs="Arial"/>
          <w:b/>
          <w:lang w:val="el-GR"/>
        </w:rPr>
        <w:t>, αφού καθοριστούν</w:t>
      </w:r>
      <w:r w:rsidR="00F20985">
        <w:rPr>
          <w:rFonts w:cs="Arial"/>
          <w:lang w:val="el-GR"/>
        </w:rPr>
        <w:t xml:space="preserve"> και τα μαθήματα κατεύθυνσης των </w:t>
      </w:r>
      <w:r w:rsidR="002362B2">
        <w:rPr>
          <w:rFonts w:cs="Arial"/>
          <w:lang w:val="el-GR"/>
        </w:rPr>
        <w:t>ανώτερ</w:t>
      </w:r>
      <w:r w:rsidR="00F20985">
        <w:rPr>
          <w:rFonts w:cs="Arial"/>
          <w:lang w:val="el-GR"/>
        </w:rPr>
        <w:t>ων εξαμήνων</w:t>
      </w:r>
      <w:r w:rsidRPr="00B221F4">
        <w:rPr>
          <w:rFonts w:cs="Arial"/>
          <w:lang w:val="el-GR"/>
        </w:rPr>
        <w:t xml:space="preserve">. </w:t>
      </w:r>
    </w:p>
    <w:p w14:paraId="039003B6" w14:textId="67413791" w:rsidR="002E3E63" w:rsidRPr="00B221F4" w:rsidRDefault="002E3E63" w:rsidP="00F20985">
      <w:pPr>
        <w:pStyle w:val="ListParagraph"/>
        <w:numPr>
          <w:ilvl w:val="0"/>
          <w:numId w:val="3"/>
        </w:numPr>
        <w:spacing w:before="120" w:after="0"/>
        <w:ind w:left="426" w:hanging="426"/>
        <w:contextualSpacing w:val="0"/>
        <w:jc w:val="both"/>
        <w:rPr>
          <w:rFonts w:cs="Arial"/>
          <w:lang w:val="el-GR"/>
        </w:rPr>
      </w:pPr>
      <w:r w:rsidRPr="00B221F4">
        <w:rPr>
          <w:rFonts w:cs="Arial"/>
          <w:lang w:val="el-GR"/>
        </w:rPr>
        <w:t xml:space="preserve">Η μείωση των μαθημάτων σε σύγκριση με το ισχύον πρόγραμμα έχει γίνει </w:t>
      </w:r>
      <w:r w:rsidRPr="00B221F4">
        <w:rPr>
          <w:rFonts w:cs="Arial"/>
          <w:b/>
          <w:lang w:val="el-GR"/>
        </w:rPr>
        <w:t>ανισοβαρώς</w:t>
      </w:r>
      <w:r w:rsidRPr="00B221F4">
        <w:rPr>
          <w:rFonts w:cs="Arial"/>
          <w:lang w:val="el-GR"/>
        </w:rPr>
        <w:t xml:space="preserve"> μεταξύ των Τομέων, με </w:t>
      </w:r>
      <w:r w:rsidR="00CF4121" w:rsidRPr="00B221F4">
        <w:rPr>
          <w:rFonts w:cs="Arial"/>
          <w:lang w:val="el-GR"/>
        </w:rPr>
        <w:t>πολύ μεγαλύτερη περικοπή μαθημάτων του</w:t>
      </w:r>
      <w:r w:rsidRPr="00B221F4">
        <w:rPr>
          <w:rFonts w:cs="Arial"/>
          <w:lang w:val="el-GR"/>
        </w:rPr>
        <w:t xml:space="preserve"> Τομέα Δομοστατικής από οποιονδήποτε άλλον Τομέα. </w:t>
      </w:r>
      <w:r w:rsidR="00167BB8" w:rsidRPr="00B221F4">
        <w:rPr>
          <w:rFonts w:cs="Arial"/>
          <w:lang w:val="el-GR"/>
        </w:rPr>
        <w:t>Στον Πίνακα 1 γίνεται σύγκριση του πλήθους των μαθημάτων κάθε Τομέα που μπορεί να παρακολουθήσει ένας σπουδαστής που έχει επιλέξει την αντίστοιχη κατεύθυνση, σε όλη τη διάρκεια των σπουδών του, μεταξύ του ισχύοντος προγράμματος και των προτεινόμενων Σχεδίων 1 &amp; 2 της ΕΠΣ.</w:t>
      </w:r>
      <w:r w:rsidR="001E31E0" w:rsidRPr="00B221F4">
        <w:rPr>
          <w:rFonts w:cs="Arial"/>
          <w:lang w:val="el-GR"/>
        </w:rPr>
        <w:t xml:space="preserve"> </w:t>
      </w:r>
      <w:r w:rsidR="00C90C2F">
        <w:rPr>
          <w:rFonts w:cs="Arial"/>
          <w:lang w:val="el-GR"/>
        </w:rPr>
        <w:t xml:space="preserve">Στον Πίνακα 2 γίνεται η ίδια σύγκριση, αλλά μόνον για τα </w:t>
      </w:r>
      <w:r w:rsidR="002362B2" w:rsidRPr="002362B2">
        <w:rPr>
          <w:rFonts w:cs="Arial"/>
          <w:lang w:val="el-GR"/>
        </w:rPr>
        <w:t>“</w:t>
      </w:r>
      <w:r w:rsidR="00C90C2F" w:rsidRPr="00C90C2F">
        <w:rPr>
          <w:rFonts w:cs="Arial"/>
          <w:b/>
          <w:lang w:val="el-GR"/>
        </w:rPr>
        <w:t>αμιγή</w:t>
      </w:r>
      <w:r w:rsidR="002362B2" w:rsidRPr="002362B2">
        <w:rPr>
          <w:rFonts w:cs="Arial"/>
          <w:b/>
          <w:lang w:val="el-GR"/>
        </w:rPr>
        <w:t>”</w:t>
      </w:r>
      <w:r w:rsidR="00C90C2F">
        <w:rPr>
          <w:rFonts w:cs="Arial"/>
          <w:lang w:val="el-GR"/>
        </w:rPr>
        <w:t xml:space="preserve"> μαθήματα κάθε Τομέα, συγκεκριμένα χωρίς τα αρχιτεκτονικά μαθήματα και τα Τεχνικά υλικά για τον Δομοστατικό μηχανικό και χωρίς τα περιβαλλοντικά μαθήματα για τον Υδραυλικό μηχανικό. </w:t>
      </w:r>
      <w:r w:rsidR="00E70280" w:rsidRPr="00B221F4">
        <w:rPr>
          <w:rFonts w:cs="Arial"/>
          <w:lang w:val="el-GR"/>
        </w:rPr>
        <w:t xml:space="preserve">Όπως </w:t>
      </w:r>
      <w:r w:rsidR="00C90C2F">
        <w:rPr>
          <w:rFonts w:cs="Arial"/>
          <w:lang w:val="el-GR"/>
        </w:rPr>
        <w:t>προκύπτει από αυτ</w:t>
      </w:r>
      <w:r w:rsidR="002362B2">
        <w:rPr>
          <w:rFonts w:cs="Arial"/>
          <w:lang w:val="el-GR"/>
        </w:rPr>
        <w:t>έ</w:t>
      </w:r>
      <w:r w:rsidR="00C90C2F">
        <w:rPr>
          <w:rFonts w:cs="Arial"/>
          <w:lang w:val="el-GR"/>
        </w:rPr>
        <w:t>ς τ</w:t>
      </w:r>
      <w:r w:rsidR="002362B2">
        <w:rPr>
          <w:rFonts w:cs="Arial"/>
          <w:lang w:val="el-GR"/>
        </w:rPr>
        <w:t>ι</w:t>
      </w:r>
      <w:r w:rsidR="00C90C2F">
        <w:rPr>
          <w:rFonts w:cs="Arial"/>
          <w:lang w:val="el-GR"/>
        </w:rPr>
        <w:t xml:space="preserve">ς </w:t>
      </w:r>
      <w:r w:rsidR="002362B2">
        <w:rPr>
          <w:rFonts w:cs="Arial"/>
          <w:lang w:val="el-GR"/>
        </w:rPr>
        <w:t>συγκρίσει</w:t>
      </w:r>
      <w:r w:rsidR="00C90C2F">
        <w:rPr>
          <w:rFonts w:cs="Arial"/>
          <w:lang w:val="el-GR"/>
        </w:rPr>
        <w:t>ς</w:t>
      </w:r>
      <w:r w:rsidR="00E70280" w:rsidRPr="00B221F4">
        <w:rPr>
          <w:rFonts w:cs="Arial"/>
          <w:lang w:val="el-GR"/>
        </w:rPr>
        <w:t xml:space="preserve">, </w:t>
      </w:r>
      <w:r w:rsidR="00E70280" w:rsidRPr="002362B2">
        <w:rPr>
          <w:rFonts w:cs="Arial"/>
          <w:b/>
          <w:lang w:val="el-GR"/>
        </w:rPr>
        <w:t>η μείωση των μαθημάτων του Τομέα Δομοστατικής</w:t>
      </w:r>
      <w:r w:rsidR="00E70280" w:rsidRPr="00B221F4">
        <w:rPr>
          <w:rFonts w:cs="Arial"/>
          <w:lang w:val="el-GR"/>
        </w:rPr>
        <w:t xml:space="preserve"> είναι </w:t>
      </w:r>
      <w:r w:rsidR="00903D48">
        <w:rPr>
          <w:rFonts w:cs="Arial"/>
          <w:lang w:val="el-GR"/>
        </w:rPr>
        <w:t>περίπου</w:t>
      </w:r>
      <w:r w:rsidR="00C90C2F">
        <w:rPr>
          <w:rFonts w:cs="Arial"/>
          <w:lang w:val="el-GR"/>
        </w:rPr>
        <w:t xml:space="preserve"> </w:t>
      </w:r>
      <w:r w:rsidR="00C90C2F" w:rsidRPr="002362B2">
        <w:rPr>
          <w:rFonts w:cs="Arial"/>
          <w:b/>
          <w:lang w:val="el-GR"/>
        </w:rPr>
        <w:t>30%</w:t>
      </w:r>
      <w:r w:rsidR="00E70280" w:rsidRPr="00B221F4">
        <w:rPr>
          <w:rFonts w:cs="Arial"/>
          <w:lang w:val="el-GR"/>
        </w:rPr>
        <w:t xml:space="preserve"> </w:t>
      </w:r>
      <w:r w:rsidR="00903D48">
        <w:rPr>
          <w:rFonts w:cs="Arial"/>
          <w:lang w:val="el-GR"/>
        </w:rPr>
        <w:t>τόσο για τα συνολικά μαθήματα του Τομέα όσο και για τα αμιγώς δομοστατικά. Σ</w:t>
      </w:r>
      <w:r w:rsidR="00E70280" w:rsidRPr="00B221F4">
        <w:rPr>
          <w:rFonts w:cs="Arial"/>
          <w:lang w:val="el-GR"/>
        </w:rPr>
        <w:t xml:space="preserve">υγκριτικά με τους άλλους Τομείς, </w:t>
      </w:r>
      <w:r w:rsidR="00903D48" w:rsidRPr="00B90B8A">
        <w:rPr>
          <w:rFonts w:cs="Arial"/>
          <w:b/>
          <w:lang w:val="el-GR"/>
        </w:rPr>
        <w:t>η μείωση των δομοστατικών μαθημάτων</w:t>
      </w:r>
      <w:r w:rsidR="00903D48">
        <w:rPr>
          <w:rFonts w:cs="Arial"/>
          <w:lang w:val="el-GR"/>
        </w:rPr>
        <w:t xml:space="preserve"> είναι</w:t>
      </w:r>
      <w:r w:rsidR="00E70280" w:rsidRPr="00B221F4">
        <w:rPr>
          <w:rFonts w:cs="Arial"/>
          <w:lang w:val="el-GR"/>
        </w:rPr>
        <w:t xml:space="preserve"> </w:t>
      </w:r>
      <w:r w:rsidR="00903D48" w:rsidRPr="00B90B8A">
        <w:rPr>
          <w:rFonts w:cs="Arial"/>
          <w:b/>
          <w:lang w:val="el-GR"/>
        </w:rPr>
        <w:t>24%</w:t>
      </w:r>
      <w:r w:rsidR="00E70280" w:rsidRPr="00B90B8A">
        <w:rPr>
          <w:rFonts w:cs="Arial"/>
          <w:b/>
          <w:lang w:val="el-GR"/>
        </w:rPr>
        <w:t xml:space="preserve"> μεγαλύτερη</w:t>
      </w:r>
      <w:r w:rsidR="00E70280" w:rsidRPr="00B221F4">
        <w:rPr>
          <w:rFonts w:cs="Arial"/>
          <w:lang w:val="el-GR"/>
        </w:rPr>
        <w:t xml:space="preserve"> απ</w:t>
      </w:r>
      <w:r w:rsidR="00903D48">
        <w:rPr>
          <w:rFonts w:cs="Arial"/>
          <w:lang w:val="el-GR"/>
        </w:rPr>
        <w:t xml:space="preserve">’ </w:t>
      </w:r>
      <w:r w:rsidR="00E70280" w:rsidRPr="00B221F4">
        <w:rPr>
          <w:rFonts w:cs="Arial"/>
          <w:lang w:val="el-GR"/>
        </w:rPr>
        <w:t>ό</w:t>
      </w:r>
      <w:r w:rsidR="00903D48">
        <w:rPr>
          <w:rFonts w:cs="Arial"/>
          <w:lang w:val="el-GR"/>
        </w:rPr>
        <w:t>,τι</w:t>
      </w:r>
      <w:r w:rsidR="00E70280" w:rsidRPr="00B221F4">
        <w:rPr>
          <w:rFonts w:cs="Arial"/>
          <w:lang w:val="el-GR"/>
        </w:rPr>
        <w:t xml:space="preserve"> </w:t>
      </w:r>
      <w:r w:rsidR="00903D48">
        <w:rPr>
          <w:rFonts w:cs="Arial"/>
          <w:lang w:val="el-GR"/>
        </w:rPr>
        <w:t xml:space="preserve">των </w:t>
      </w:r>
      <w:r w:rsidR="00903D48">
        <w:rPr>
          <w:rFonts w:cs="Arial"/>
          <w:lang w:val="el-GR"/>
        </w:rPr>
        <w:lastRenderedPageBreak/>
        <w:t>υδραυλικών μαθημάτων όσον αφορά τα συνολικά μαθήματα</w:t>
      </w:r>
      <w:r w:rsidR="00B90B8A">
        <w:rPr>
          <w:rFonts w:cs="Arial"/>
          <w:lang w:val="el-GR"/>
        </w:rPr>
        <w:t xml:space="preserve"> και</w:t>
      </w:r>
      <w:r w:rsidR="00903D48">
        <w:rPr>
          <w:rFonts w:cs="Arial"/>
          <w:lang w:val="el-GR"/>
        </w:rPr>
        <w:t xml:space="preserve"> </w:t>
      </w:r>
      <w:r w:rsidR="00903D48" w:rsidRPr="00B90B8A">
        <w:rPr>
          <w:rFonts w:cs="Arial"/>
          <w:b/>
          <w:lang w:val="el-GR"/>
        </w:rPr>
        <w:t xml:space="preserve">132% </w:t>
      </w:r>
      <w:r w:rsidR="00B90B8A" w:rsidRPr="00B90B8A">
        <w:rPr>
          <w:rFonts w:cs="Arial"/>
          <w:b/>
          <w:lang w:val="el-GR"/>
        </w:rPr>
        <w:t>μεγαλύτερη</w:t>
      </w:r>
      <w:r w:rsidR="00B90B8A">
        <w:rPr>
          <w:rFonts w:cs="Arial"/>
          <w:lang w:val="el-GR"/>
        </w:rPr>
        <w:t xml:space="preserve"> όσον αφορά</w:t>
      </w:r>
      <w:r w:rsidR="00903D48">
        <w:rPr>
          <w:rFonts w:cs="Arial"/>
          <w:lang w:val="el-GR"/>
        </w:rPr>
        <w:t xml:space="preserve"> τα αμιγώς υδραυλικά</w:t>
      </w:r>
      <w:r w:rsidR="00B90B8A">
        <w:rPr>
          <w:rFonts w:cs="Arial"/>
          <w:lang w:val="el-GR"/>
        </w:rPr>
        <w:t xml:space="preserve"> μαθήματα</w:t>
      </w:r>
      <w:r w:rsidR="00903D48">
        <w:rPr>
          <w:rFonts w:cs="Arial"/>
          <w:lang w:val="el-GR"/>
        </w:rPr>
        <w:t>,</w:t>
      </w:r>
      <w:r w:rsidR="00E70280" w:rsidRPr="00B221F4">
        <w:rPr>
          <w:rFonts w:cs="Arial"/>
          <w:lang w:val="el-GR"/>
        </w:rPr>
        <w:t xml:space="preserve"> </w:t>
      </w:r>
      <w:r w:rsidR="00B90B8A">
        <w:rPr>
          <w:rFonts w:cs="Arial"/>
          <w:lang w:val="el-GR"/>
        </w:rPr>
        <w:t xml:space="preserve">ενώ είναι </w:t>
      </w:r>
      <w:r w:rsidR="00B90B8A" w:rsidRPr="00B90B8A">
        <w:rPr>
          <w:rFonts w:cs="Arial"/>
          <w:b/>
          <w:lang w:val="el-GR"/>
        </w:rPr>
        <w:t>275% μεγαλύτερη</w:t>
      </w:r>
      <w:r w:rsidR="00B90B8A">
        <w:rPr>
          <w:rFonts w:cs="Arial"/>
          <w:lang w:val="el-GR"/>
        </w:rPr>
        <w:t xml:space="preserve"> της μείωσης των συγκοινωνιακών μαθημάτων. Τα γεωτεχνικά μαθήματα δεν υφίστανται μείωση</w:t>
      </w:r>
      <w:r w:rsidR="00E70280" w:rsidRPr="00B221F4">
        <w:rPr>
          <w:rFonts w:cs="Arial"/>
          <w:lang w:val="el-GR"/>
        </w:rPr>
        <w:t>.</w:t>
      </w:r>
    </w:p>
    <w:p w14:paraId="340001BB" w14:textId="4952C917" w:rsidR="00903D48" w:rsidRPr="00B90B8A" w:rsidRDefault="00903D48" w:rsidP="00B90B8A">
      <w:pPr>
        <w:spacing w:before="120" w:after="60"/>
        <w:ind w:left="360"/>
        <w:jc w:val="center"/>
        <w:rPr>
          <w:rFonts w:cs="Arial"/>
          <w:b/>
          <w:lang w:val="el-GR"/>
        </w:rPr>
      </w:pPr>
      <w:r w:rsidRPr="00B90B8A">
        <w:rPr>
          <w:rFonts w:cs="Arial"/>
          <w:b/>
          <w:lang w:val="el-GR"/>
        </w:rPr>
        <w:t xml:space="preserve">Πίνακας 1: Συνολικά μαθήματα </w:t>
      </w:r>
      <w:r w:rsidR="002362B2">
        <w:rPr>
          <w:rFonts w:cs="Arial"/>
          <w:b/>
          <w:lang w:val="el-GR"/>
        </w:rPr>
        <w:t xml:space="preserve">κατεύθυνσης </w:t>
      </w:r>
      <w:r w:rsidRPr="00B90B8A">
        <w:rPr>
          <w:rFonts w:cs="Arial"/>
          <w:b/>
          <w:lang w:val="el-GR"/>
        </w:rPr>
        <w:t>ανά Τομέα</w:t>
      </w:r>
    </w:p>
    <w:tbl>
      <w:tblPr>
        <w:tblStyle w:val="TableGrid"/>
        <w:tblW w:w="0" w:type="auto"/>
        <w:tblInd w:w="562" w:type="dxa"/>
        <w:tblLook w:val="04A0" w:firstRow="1" w:lastRow="0" w:firstColumn="1" w:lastColumn="0" w:noHBand="0" w:noVBand="1"/>
      </w:tblPr>
      <w:tblGrid>
        <w:gridCol w:w="2394"/>
        <w:gridCol w:w="2042"/>
        <w:gridCol w:w="2105"/>
        <w:gridCol w:w="2247"/>
      </w:tblGrid>
      <w:tr w:rsidR="00903D48" w:rsidRPr="003A52B3" w14:paraId="2AD5CF23" w14:textId="77777777" w:rsidTr="00EF199E">
        <w:tc>
          <w:tcPr>
            <w:tcW w:w="2394" w:type="dxa"/>
            <w:shd w:val="clear" w:color="auto" w:fill="D9D9D9" w:themeFill="background1" w:themeFillShade="D9"/>
            <w:vAlign w:val="center"/>
          </w:tcPr>
          <w:p w14:paraId="7F4F3640" w14:textId="77777777" w:rsidR="00903D48" w:rsidRPr="003A52B3" w:rsidRDefault="00903D48" w:rsidP="00A84543">
            <w:pPr>
              <w:pStyle w:val="ListParagraph"/>
              <w:spacing w:before="60" w:after="60"/>
              <w:ind w:left="0"/>
              <w:jc w:val="center"/>
              <w:rPr>
                <w:rFonts w:cs="Arial"/>
                <w:b/>
                <w:lang w:val="el-GR"/>
              </w:rPr>
            </w:pPr>
            <w:r w:rsidRPr="003A52B3">
              <w:rPr>
                <w:rFonts w:cs="Arial"/>
                <w:b/>
                <w:lang w:val="el-GR"/>
              </w:rPr>
              <w:t>Τομέας / Κατεύθυνση</w:t>
            </w:r>
          </w:p>
        </w:tc>
        <w:tc>
          <w:tcPr>
            <w:tcW w:w="2042" w:type="dxa"/>
            <w:shd w:val="clear" w:color="auto" w:fill="D9D9D9" w:themeFill="background1" w:themeFillShade="D9"/>
            <w:vAlign w:val="center"/>
          </w:tcPr>
          <w:p w14:paraId="1CE134DB" w14:textId="77777777" w:rsidR="00903D48" w:rsidRPr="003A52B3" w:rsidRDefault="00903D48" w:rsidP="00A84543">
            <w:pPr>
              <w:pStyle w:val="ListParagraph"/>
              <w:spacing w:before="60" w:after="60"/>
              <w:ind w:left="0"/>
              <w:jc w:val="center"/>
              <w:rPr>
                <w:rFonts w:cs="Arial"/>
                <w:b/>
                <w:lang w:val="el-GR"/>
              </w:rPr>
            </w:pPr>
            <w:r w:rsidRPr="003A52B3">
              <w:rPr>
                <w:rFonts w:cs="Arial"/>
                <w:b/>
                <w:lang w:val="el-GR"/>
              </w:rPr>
              <w:t>Ισχύον Πρόγραμμα</w:t>
            </w:r>
          </w:p>
        </w:tc>
        <w:tc>
          <w:tcPr>
            <w:tcW w:w="2105" w:type="dxa"/>
            <w:shd w:val="clear" w:color="auto" w:fill="D9D9D9" w:themeFill="background1" w:themeFillShade="D9"/>
            <w:vAlign w:val="center"/>
          </w:tcPr>
          <w:p w14:paraId="06B575ED" w14:textId="77777777" w:rsidR="00903D48" w:rsidRPr="003A52B3" w:rsidRDefault="00903D48" w:rsidP="00A84543">
            <w:pPr>
              <w:pStyle w:val="ListParagraph"/>
              <w:spacing w:before="60" w:after="60"/>
              <w:ind w:left="0"/>
              <w:jc w:val="center"/>
              <w:rPr>
                <w:rFonts w:cs="Arial"/>
                <w:b/>
                <w:lang w:val="el-GR"/>
              </w:rPr>
            </w:pPr>
            <w:r w:rsidRPr="003A52B3">
              <w:rPr>
                <w:rFonts w:cs="Arial"/>
                <w:b/>
                <w:lang w:val="el-GR"/>
              </w:rPr>
              <w:t>Σχέδια 1 &amp; 2</w:t>
            </w:r>
            <w:r>
              <w:rPr>
                <w:rFonts w:cs="Arial"/>
                <w:b/>
                <w:vertAlign w:val="superscript"/>
                <w:lang w:val="el-GR"/>
              </w:rPr>
              <w:t>(*</w:t>
            </w:r>
            <w:r w:rsidRPr="003A52B3">
              <w:rPr>
                <w:rFonts w:cs="Arial"/>
                <w:b/>
                <w:vertAlign w:val="superscript"/>
                <w:lang w:val="el-GR"/>
              </w:rPr>
              <w:t>)</w:t>
            </w:r>
            <w:r w:rsidRPr="003A52B3">
              <w:rPr>
                <w:rFonts w:cs="Arial"/>
                <w:b/>
                <w:lang w:val="el-GR"/>
              </w:rPr>
              <w:t xml:space="preserve"> ΝΠΣ</w:t>
            </w:r>
          </w:p>
        </w:tc>
        <w:tc>
          <w:tcPr>
            <w:tcW w:w="2247" w:type="dxa"/>
            <w:shd w:val="clear" w:color="auto" w:fill="D9D9D9" w:themeFill="background1" w:themeFillShade="D9"/>
            <w:vAlign w:val="center"/>
          </w:tcPr>
          <w:p w14:paraId="7A79B9B2" w14:textId="77777777" w:rsidR="00903D48" w:rsidRPr="003A52B3" w:rsidRDefault="00903D48" w:rsidP="00A84543">
            <w:pPr>
              <w:pStyle w:val="ListParagraph"/>
              <w:spacing w:before="60" w:after="60"/>
              <w:ind w:left="0"/>
              <w:jc w:val="center"/>
              <w:rPr>
                <w:rFonts w:cs="Arial"/>
                <w:b/>
                <w:lang w:val="el-GR"/>
              </w:rPr>
            </w:pPr>
            <w:r w:rsidRPr="003A52B3">
              <w:rPr>
                <w:rFonts w:cs="Arial"/>
                <w:b/>
                <w:lang w:val="el-GR"/>
              </w:rPr>
              <w:t>Παρατηρήσεις</w:t>
            </w:r>
          </w:p>
        </w:tc>
      </w:tr>
      <w:tr w:rsidR="00903D48" w:rsidRPr="003A52B3" w14:paraId="4CE49849" w14:textId="77777777" w:rsidTr="00B90B8A">
        <w:tc>
          <w:tcPr>
            <w:tcW w:w="2394" w:type="dxa"/>
            <w:vAlign w:val="center"/>
          </w:tcPr>
          <w:p w14:paraId="677833B9" w14:textId="77777777" w:rsidR="00903D48" w:rsidRPr="003A52B3" w:rsidRDefault="00903D48" w:rsidP="00A84543">
            <w:pPr>
              <w:pStyle w:val="ListParagraph"/>
              <w:spacing w:before="60" w:after="60"/>
              <w:ind w:left="0"/>
              <w:jc w:val="center"/>
              <w:rPr>
                <w:rFonts w:cs="Arial"/>
                <w:lang w:val="el-GR"/>
              </w:rPr>
            </w:pPr>
            <w:r w:rsidRPr="003A52B3">
              <w:rPr>
                <w:rFonts w:cs="Arial"/>
                <w:lang w:val="el-GR"/>
              </w:rPr>
              <w:t>Δομοστατικός Μηχ/κός</w:t>
            </w:r>
          </w:p>
        </w:tc>
        <w:tc>
          <w:tcPr>
            <w:tcW w:w="2042" w:type="dxa"/>
            <w:vAlign w:val="center"/>
          </w:tcPr>
          <w:p w14:paraId="09654163" w14:textId="77777777" w:rsidR="00903D48" w:rsidRPr="003A52B3" w:rsidRDefault="00903D48" w:rsidP="00A84543">
            <w:pPr>
              <w:pStyle w:val="ListParagraph"/>
              <w:spacing w:before="60" w:after="60"/>
              <w:ind w:left="0"/>
              <w:jc w:val="center"/>
              <w:rPr>
                <w:rFonts w:cs="Arial"/>
                <w:lang w:val="el-GR"/>
              </w:rPr>
            </w:pPr>
            <w:r>
              <w:rPr>
                <w:rFonts w:cs="Arial"/>
                <w:lang w:val="el-GR"/>
              </w:rPr>
              <w:t>26</w:t>
            </w:r>
          </w:p>
        </w:tc>
        <w:tc>
          <w:tcPr>
            <w:tcW w:w="2105" w:type="dxa"/>
            <w:vAlign w:val="center"/>
          </w:tcPr>
          <w:p w14:paraId="0C8A2C23" w14:textId="77777777" w:rsidR="00903D48" w:rsidRPr="003A52B3" w:rsidRDefault="00903D48" w:rsidP="00A84543">
            <w:pPr>
              <w:pStyle w:val="ListParagraph"/>
              <w:spacing w:before="60" w:after="60"/>
              <w:ind w:left="0"/>
              <w:jc w:val="center"/>
              <w:rPr>
                <w:rFonts w:cs="Arial"/>
                <w:lang w:val="el-GR"/>
              </w:rPr>
            </w:pPr>
            <w:r>
              <w:rPr>
                <w:rFonts w:cs="Arial"/>
                <w:lang w:val="el-GR"/>
              </w:rPr>
              <w:t>18</w:t>
            </w:r>
          </w:p>
        </w:tc>
        <w:tc>
          <w:tcPr>
            <w:tcW w:w="2247" w:type="dxa"/>
            <w:vAlign w:val="center"/>
          </w:tcPr>
          <w:p w14:paraId="2BCC04E5" w14:textId="77777777" w:rsidR="00903D48" w:rsidRPr="003A52B3" w:rsidRDefault="00903D48" w:rsidP="00A84543">
            <w:pPr>
              <w:pStyle w:val="ListParagraph"/>
              <w:spacing w:before="60" w:after="60"/>
              <w:ind w:left="0"/>
              <w:jc w:val="center"/>
              <w:rPr>
                <w:rFonts w:cs="Arial"/>
                <w:lang w:val="el-GR"/>
              </w:rPr>
            </w:pPr>
            <w:r w:rsidRPr="003A52B3">
              <w:rPr>
                <w:rFonts w:cs="Arial"/>
                <w:lang w:val="el-GR"/>
              </w:rPr>
              <w:t xml:space="preserve">Μείωση </w:t>
            </w:r>
            <w:r>
              <w:rPr>
                <w:rFonts w:cs="Arial"/>
                <w:lang w:val="el-GR"/>
              </w:rPr>
              <w:t>31</w:t>
            </w:r>
            <w:r w:rsidRPr="003A52B3">
              <w:rPr>
                <w:rFonts w:cs="Arial"/>
                <w:lang w:val="el-GR"/>
              </w:rPr>
              <w:t>%</w:t>
            </w:r>
          </w:p>
        </w:tc>
      </w:tr>
      <w:tr w:rsidR="00903D48" w:rsidRPr="003A52B3" w14:paraId="0B8FF3BA" w14:textId="77777777" w:rsidTr="00B90B8A">
        <w:tc>
          <w:tcPr>
            <w:tcW w:w="2394" w:type="dxa"/>
            <w:vAlign w:val="center"/>
          </w:tcPr>
          <w:p w14:paraId="78B31337" w14:textId="77777777" w:rsidR="00903D48" w:rsidRPr="003A52B3" w:rsidRDefault="00903D48" w:rsidP="00A84543">
            <w:pPr>
              <w:pStyle w:val="ListParagraph"/>
              <w:spacing w:before="60" w:after="60"/>
              <w:ind w:left="0"/>
              <w:jc w:val="center"/>
              <w:rPr>
                <w:rFonts w:cs="Arial"/>
                <w:lang w:val="el-GR"/>
              </w:rPr>
            </w:pPr>
            <w:r w:rsidRPr="003A52B3">
              <w:rPr>
                <w:rFonts w:cs="Arial"/>
                <w:lang w:val="el-GR"/>
              </w:rPr>
              <w:t>Υδραυλικός Μηχ</w:t>
            </w:r>
            <w:r>
              <w:rPr>
                <w:rFonts w:cs="Arial"/>
                <w:lang w:val="el-GR"/>
              </w:rPr>
              <w:t>/</w:t>
            </w:r>
            <w:r w:rsidRPr="003A52B3">
              <w:rPr>
                <w:rFonts w:cs="Arial"/>
                <w:lang w:val="el-GR"/>
              </w:rPr>
              <w:t>κός</w:t>
            </w:r>
          </w:p>
        </w:tc>
        <w:tc>
          <w:tcPr>
            <w:tcW w:w="2042" w:type="dxa"/>
            <w:vAlign w:val="center"/>
          </w:tcPr>
          <w:p w14:paraId="08F51800" w14:textId="77777777" w:rsidR="00903D48" w:rsidRPr="003A52B3" w:rsidRDefault="00903D48" w:rsidP="00A84543">
            <w:pPr>
              <w:pStyle w:val="ListParagraph"/>
              <w:spacing w:before="60" w:after="60"/>
              <w:ind w:left="0"/>
              <w:jc w:val="center"/>
              <w:rPr>
                <w:rFonts w:cs="Arial"/>
                <w:vertAlign w:val="superscript"/>
                <w:lang w:val="el-GR"/>
              </w:rPr>
            </w:pPr>
            <w:r>
              <w:rPr>
                <w:rFonts w:cs="Arial"/>
                <w:lang w:val="el-GR"/>
              </w:rPr>
              <w:t>20</w:t>
            </w:r>
          </w:p>
        </w:tc>
        <w:tc>
          <w:tcPr>
            <w:tcW w:w="2105" w:type="dxa"/>
            <w:vAlign w:val="center"/>
          </w:tcPr>
          <w:p w14:paraId="3DA66495" w14:textId="77777777" w:rsidR="00903D48" w:rsidRPr="003A52B3" w:rsidRDefault="00903D48" w:rsidP="00A84543">
            <w:pPr>
              <w:pStyle w:val="ListParagraph"/>
              <w:spacing w:before="60" w:after="60"/>
              <w:ind w:left="0"/>
              <w:jc w:val="center"/>
              <w:rPr>
                <w:rFonts w:cs="Arial"/>
                <w:vertAlign w:val="superscript"/>
                <w:lang w:val="el-GR"/>
              </w:rPr>
            </w:pPr>
            <w:r w:rsidRPr="003A52B3">
              <w:rPr>
                <w:rFonts w:cs="Arial"/>
                <w:lang w:val="el-GR"/>
              </w:rPr>
              <w:t>1</w:t>
            </w:r>
            <w:r>
              <w:rPr>
                <w:rFonts w:cs="Arial"/>
                <w:lang w:val="el-GR"/>
              </w:rPr>
              <w:t>5</w:t>
            </w:r>
          </w:p>
        </w:tc>
        <w:tc>
          <w:tcPr>
            <w:tcW w:w="2247" w:type="dxa"/>
            <w:vAlign w:val="center"/>
          </w:tcPr>
          <w:p w14:paraId="336D84E4" w14:textId="77777777" w:rsidR="00903D48" w:rsidRPr="003A52B3" w:rsidRDefault="00903D48" w:rsidP="00A84543">
            <w:pPr>
              <w:pStyle w:val="ListParagraph"/>
              <w:spacing w:before="60" w:after="60"/>
              <w:ind w:left="0"/>
              <w:jc w:val="center"/>
              <w:rPr>
                <w:rFonts w:cs="Arial"/>
                <w:lang w:val="el-GR"/>
              </w:rPr>
            </w:pPr>
            <w:r w:rsidRPr="003A52B3">
              <w:rPr>
                <w:rFonts w:cs="Arial"/>
                <w:lang w:val="el-GR"/>
              </w:rPr>
              <w:t xml:space="preserve">Μείωση </w:t>
            </w:r>
            <w:r>
              <w:rPr>
                <w:rFonts w:cs="Arial"/>
                <w:lang w:val="el-GR"/>
              </w:rPr>
              <w:t>25</w:t>
            </w:r>
            <w:r w:rsidRPr="003A52B3">
              <w:rPr>
                <w:rFonts w:cs="Arial"/>
                <w:lang w:val="el-GR"/>
              </w:rPr>
              <w:t>%</w:t>
            </w:r>
          </w:p>
        </w:tc>
      </w:tr>
      <w:tr w:rsidR="00903D48" w:rsidRPr="003A52B3" w14:paraId="111F7F7E" w14:textId="77777777" w:rsidTr="00B90B8A">
        <w:tc>
          <w:tcPr>
            <w:tcW w:w="2394" w:type="dxa"/>
            <w:vAlign w:val="center"/>
          </w:tcPr>
          <w:p w14:paraId="2C85D254" w14:textId="77777777" w:rsidR="00903D48" w:rsidRPr="003A52B3" w:rsidRDefault="00903D48" w:rsidP="00A84543">
            <w:pPr>
              <w:pStyle w:val="ListParagraph"/>
              <w:spacing w:before="60" w:after="60"/>
              <w:ind w:left="0"/>
              <w:jc w:val="center"/>
              <w:rPr>
                <w:rFonts w:cs="Arial"/>
                <w:lang w:val="el-GR"/>
              </w:rPr>
            </w:pPr>
            <w:r w:rsidRPr="003A52B3">
              <w:rPr>
                <w:rFonts w:cs="Arial"/>
                <w:lang w:val="el-GR"/>
              </w:rPr>
              <w:t>Συγκ/κός Μηχανικός</w:t>
            </w:r>
          </w:p>
        </w:tc>
        <w:tc>
          <w:tcPr>
            <w:tcW w:w="2042" w:type="dxa"/>
            <w:vAlign w:val="center"/>
          </w:tcPr>
          <w:p w14:paraId="24E2BD5B" w14:textId="77777777" w:rsidR="00903D48" w:rsidRPr="003A52B3" w:rsidRDefault="00903D48" w:rsidP="00A84543">
            <w:pPr>
              <w:pStyle w:val="ListParagraph"/>
              <w:spacing w:before="60" w:after="60"/>
              <w:ind w:left="0"/>
              <w:jc w:val="center"/>
              <w:rPr>
                <w:rFonts w:cs="Arial"/>
                <w:lang w:val="el-GR"/>
              </w:rPr>
            </w:pPr>
            <w:r w:rsidRPr="003A52B3">
              <w:rPr>
                <w:rFonts w:cs="Arial"/>
                <w:lang w:val="el-GR"/>
              </w:rPr>
              <w:t>13</w:t>
            </w:r>
          </w:p>
        </w:tc>
        <w:tc>
          <w:tcPr>
            <w:tcW w:w="2105" w:type="dxa"/>
            <w:vAlign w:val="center"/>
          </w:tcPr>
          <w:p w14:paraId="2987018F" w14:textId="77777777" w:rsidR="00903D48" w:rsidRPr="003A52B3" w:rsidRDefault="00903D48" w:rsidP="00A84543">
            <w:pPr>
              <w:pStyle w:val="ListParagraph"/>
              <w:spacing w:before="60" w:after="60"/>
              <w:ind w:left="0"/>
              <w:jc w:val="center"/>
              <w:rPr>
                <w:rFonts w:cs="Arial"/>
                <w:lang w:val="el-GR"/>
              </w:rPr>
            </w:pPr>
            <w:r w:rsidRPr="003A52B3">
              <w:rPr>
                <w:rFonts w:cs="Arial"/>
                <w:lang w:val="el-GR"/>
              </w:rPr>
              <w:t>12</w:t>
            </w:r>
          </w:p>
        </w:tc>
        <w:tc>
          <w:tcPr>
            <w:tcW w:w="2247" w:type="dxa"/>
            <w:vAlign w:val="center"/>
          </w:tcPr>
          <w:p w14:paraId="3B5398F3" w14:textId="77777777" w:rsidR="00903D48" w:rsidRPr="003A52B3" w:rsidRDefault="00903D48" w:rsidP="00A84543">
            <w:pPr>
              <w:pStyle w:val="ListParagraph"/>
              <w:spacing w:before="60" w:after="60"/>
              <w:ind w:left="0"/>
              <w:jc w:val="center"/>
              <w:rPr>
                <w:rFonts w:cs="Arial"/>
                <w:lang w:val="el-GR"/>
              </w:rPr>
            </w:pPr>
            <w:r w:rsidRPr="003A52B3">
              <w:rPr>
                <w:rFonts w:cs="Arial"/>
                <w:lang w:val="el-GR"/>
              </w:rPr>
              <w:t>Μείωση 8%</w:t>
            </w:r>
          </w:p>
        </w:tc>
      </w:tr>
      <w:tr w:rsidR="00903D48" w:rsidRPr="003A52B3" w14:paraId="0CBEE3B8" w14:textId="77777777" w:rsidTr="00B90B8A">
        <w:tc>
          <w:tcPr>
            <w:tcW w:w="2394" w:type="dxa"/>
            <w:vAlign w:val="center"/>
          </w:tcPr>
          <w:p w14:paraId="006AB6C1" w14:textId="77777777" w:rsidR="00903D48" w:rsidRPr="003A52B3" w:rsidRDefault="00903D48" w:rsidP="00A84543">
            <w:pPr>
              <w:pStyle w:val="ListParagraph"/>
              <w:spacing w:before="60" w:after="60"/>
              <w:ind w:left="0"/>
              <w:jc w:val="center"/>
              <w:rPr>
                <w:rFonts w:cs="Arial"/>
                <w:lang w:val="el-GR"/>
              </w:rPr>
            </w:pPr>
            <w:r w:rsidRPr="003A52B3">
              <w:rPr>
                <w:rFonts w:cs="Arial"/>
                <w:lang w:val="el-GR"/>
              </w:rPr>
              <w:t>Γεωτεχνικός Μηχ/κός</w:t>
            </w:r>
          </w:p>
        </w:tc>
        <w:tc>
          <w:tcPr>
            <w:tcW w:w="2042" w:type="dxa"/>
            <w:vAlign w:val="center"/>
          </w:tcPr>
          <w:p w14:paraId="18F1C383" w14:textId="77777777" w:rsidR="00903D48" w:rsidRPr="003A52B3" w:rsidRDefault="00903D48" w:rsidP="00A84543">
            <w:pPr>
              <w:pStyle w:val="ListParagraph"/>
              <w:spacing w:before="60" w:after="60"/>
              <w:ind w:left="0"/>
              <w:jc w:val="center"/>
              <w:rPr>
                <w:rFonts w:cs="Arial"/>
                <w:lang w:val="el-GR"/>
              </w:rPr>
            </w:pPr>
            <w:r w:rsidRPr="003A52B3">
              <w:rPr>
                <w:rFonts w:cs="Arial"/>
                <w:lang w:val="el-GR"/>
              </w:rPr>
              <w:t>12</w:t>
            </w:r>
          </w:p>
        </w:tc>
        <w:tc>
          <w:tcPr>
            <w:tcW w:w="2105" w:type="dxa"/>
            <w:vAlign w:val="center"/>
          </w:tcPr>
          <w:p w14:paraId="0DE63151" w14:textId="77777777" w:rsidR="00903D48" w:rsidRPr="003A52B3" w:rsidRDefault="00903D48" w:rsidP="00A84543">
            <w:pPr>
              <w:pStyle w:val="ListParagraph"/>
              <w:spacing w:before="60" w:after="60"/>
              <w:ind w:left="0"/>
              <w:jc w:val="center"/>
              <w:rPr>
                <w:rFonts w:cs="Arial"/>
                <w:lang w:val="el-GR"/>
              </w:rPr>
            </w:pPr>
            <w:r w:rsidRPr="003A52B3">
              <w:rPr>
                <w:rFonts w:cs="Arial"/>
                <w:lang w:val="el-GR"/>
              </w:rPr>
              <w:t>1</w:t>
            </w:r>
            <w:r>
              <w:rPr>
                <w:rFonts w:cs="Arial"/>
                <w:lang w:val="el-GR"/>
              </w:rPr>
              <w:t>2</w:t>
            </w:r>
          </w:p>
        </w:tc>
        <w:tc>
          <w:tcPr>
            <w:tcW w:w="2247" w:type="dxa"/>
            <w:vAlign w:val="center"/>
          </w:tcPr>
          <w:p w14:paraId="52FE9C4C" w14:textId="77777777" w:rsidR="00903D48" w:rsidRPr="003A52B3" w:rsidRDefault="00903D48" w:rsidP="00A84543">
            <w:pPr>
              <w:pStyle w:val="ListParagraph"/>
              <w:spacing w:before="60" w:after="60"/>
              <w:ind w:left="0"/>
              <w:jc w:val="center"/>
              <w:rPr>
                <w:rFonts w:cs="Arial"/>
                <w:lang w:val="el-GR"/>
              </w:rPr>
            </w:pPr>
            <w:r>
              <w:rPr>
                <w:rFonts w:cs="Arial"/>
                <w:lang w:val="el-GR"/>
              </w:rPr>
              <w:t>-</w:t>
            </w:r>
          </w:p>
        </w:tc>
      </w:tr>
    </w:tbl>
    <w:p w14:paraId="46EB2280" w14:textId="0BDF34D6" w:rsidR="002E3E63" w:rsidRPr="003A52B3" w:rsidRDefault="00167BB8" w:rsidP="00B90B8A">
      <w:pPr>
        <w:pStyle w:val="ListParagraph"/>
        <w:spacing w:before="240" w:after="60"/>
        <w:contextualSpacing w:val="0"/>
        <w:jc w:val="center"/>
        <w:rPr>
          <w:rFonts w:cs="Arial"/>
          <w:b/>
          <w:lang w:val="el-GR"/>
        </w:rPr>
      </w:pPr>
      <w:r w:rsidRPr="003A52B3">
        <w:rPr>
          <w:rFonts w:cs="Arial"/>
          <w:b/>
          <w:lang w:val="el-GR"/>
        </w:rPr>
        <w:t xml:space="preserve">Πίνακας </w:t>
      </w:r>
      <w:r w:rsidR="00903D48">
        <w:rPr>
          <w:rFonts w:cs="Arial"/>
          <w:b/>
          <w:lang w:val="el-GR"/>
        </w:rPr>
        <w:t xml:space="preserve">2: </w:t>
      </w:r>
      <w:r w:rsidR="002362B2" w:rsidRPr="002362B2">
        <w:rPr>
          <w:rFonts w:cs="Arial"/>
          <w:b/>
          <w:lang w:val="el-GR"/>
        </w:rPr>
        <w:t>“</w:t>
      </w:r>
      <w:r w:rsidR="00903D48">
        <w:rPr>
          <w:rFonts w:cs="Arial"/>
          <w:b/>
          <w:lang w:val="el-GR"/>
        </w:rPr>
        <w:t>Αμιγή</w:t>
      </w:r>
      <w:r w:rsidR="002362B2" w:rsidRPr="002362B2">
        <w:rPr>
          <w:rFonts w:cs="Arial"/>
          <w:b/>
          <w:lang w:val="el-GR"/>
        </w:rPr>
        <w:t>”</w:t>
      </w:r>
      <w:r w:rsidR="00903D48">
        <w:rPr>
          <w:rFonts w:cs="Arial"/>
          <w:b/>
          <w:lang w:val="el-GR"/>
        </w:rPr>
        <w:t xml:space="preserve"> μαθήματα κατεύθυνσης ανά Τομέα</w:t>
      </w:r>
    </w:p>
    <w:tbl>
      <w:tblPr>
        <w:tblStyle w:val="TableGrid"/>
        <w:tblW w:w="0" w:type="auto"/>
        <w:tblInd w:w="562" w:type="dxa"/>
        <w:tblLook w:val="04A0" w:firstRow="1" w:lastRow="0" w:firstColumn="1" w:lastColumn="0" w:noHBand="0" w:noVBand="1"/>
      </w:tblPr>
      <w:tblGrid>
        <w:gridCol w:w="2394"/>
        <w:gridCol w:w="2042"/>
        <w:gridCol w:w="2105"/>
        <w:gridCol w:w="2247"/>
      </w:tblGrid>
      <w:tr w:rsidR="003A52B3" w:rsidRPr="003A52B3" w14:paraId="1BF2685E" w14:textId="77777777" w:rsidTr="00EF199E">
        <w:tc>
          <w:tcPr>
            <w:tcW w:w="2394" w:type="dxa"/>
            <w:shd w:val="clear" w:color="auto" w:fill="D9D9D9" w:themeFill="background1" w:themeFillShade="D9"/>
            <w:vAlign w:val="center"/>
          </w:tcPr>
          <w:p w14:paraId="459769FB" w14:textId="77777777" w:rsidR="001E31E0" w:rsidRPr="003A52B3" w:rsidRDefault="001E31E0" w:rsidP="00CE0EA4">
            <w:pPr>
              <w:pStyle w:val="ListParagraph"/>
              <w:spacing w:before="60" w:after="60"/>
              <w:ind w:left="0"/>
              <w:jc w:val="center"/>
              <w:rPr>
                <w:rFonts w:cs="Arial"/>
                <w:b/>
                <w:lang w:val="el-GR"/>
              </w:rPr>
            </w:pPr>
            <w:r w:rsidRPr="003A52B3">
              <w:rPr>
                <w:rFonts w:cs="Arial"/>
                <w:b/>
                <w:lang w:val="el-GR"/>
              </w:rPr>
              <w:t>Τομέας / Κατεύθυνση</w:t>
            </w:r>
          </w:p>
        </w:tc>
        <w:tc>
          <w:tcPr>
            <w:tcW w:w="2042" w:type="dxa"/>
            <w:shd w:val="clear" w:color="auto" w:fill="D9D9D9" w:themeFill="background1" w:themeFillShade="D9"/>
            <w:vAlign w:val="center"/>
          </w:tcPr>
          <w:p w14:paraId="5CC9A816" w14:textId="77777777" w:rsidR="001E31E0" w:rsidRPr="003A52B3" w:rsidRDefault="001E31E0" w:rsidP="00CE0EA4">
            <w:pPr>
              <w:pStyle w:val="ListParagraph"/>
              <w:spacing w:before="60" w:after="60"/>
              <w:ind w:left="0"/>
              <w:jc w:val="center"/>
              <w:rPr>
                <w:rFonts w:cs="Arial"/>
                <w:b/>
                <w:lang w:val="el-GR"/>
              </w:rPr>
            </w:pPr>
            <w:r w:rsidRPr="003A52B3">
              <w:rPr>
                <w:rFonts w:cs="Arial"/>
                <w:b/>
                <w:lang w:val="el-GR"/>
              </w:rPr>
              <w:t>Ισχύον Πρόγραμμα</w:t>
            </w:r>
          </w:p>
        </w:tc>
        <w:tc>
          <w:tcPr>
            <w:tcW w:w="2105" w:type="dxa"/>
            <w:shd w:val="clear" w:color="auto" w:fill="D9D9D9" w:themeFill="background1" w:themeFillShade="D9"/>
            <w:vAlign w:val="center"/>
          </w:tcPr>
          <w:p w14:paraId="3F422F08" w14:textId="21694BB9" w:rsidR="001E31E0" w:rsidRPr="003A52B3" w:rsidRDefault="001E31E0" w:rsidP="00CE0EA4">
            <w:pPr>
              <w:pStyle w:val="ListParagraph"/>
              <w:spacing w:before="60" w:after="60"/>
              <w:ind w:left="0"/>
              <w:jc w:val="center"/>
              <w:rPr>
                <w:rFonts w:cs="Arial"/>
                <w:b/>
                <w:lang w:val="el-GR"/>
              </w:rPr>
            </w:pPr>
            <w:r w:rsidRPr="003A52B3">
              <w:rPr>
                <w:rFonts w:cs="Arial"/>
                <w:b/>
                <w:lang w:val="el-GR"/>
              </w:rPr>
              <w:t>Σχέδια 1 &amp; 2</w:t>
            </w:r>
            <w:r w:rsidR="00CE0EA4">
              <w:rPr>
                <w:rFonts w:cs="Arial"/>
                <w:b/>
                <w:vertAlign w:val="superscript"/>
                <w:lang w:val="el-GR"/>
              </w:rPr>
              <w:t>(*</w:t>
            </w:r>
            <w:r w:rsidRPr="003A52B3">
              <w:rPr>
                <w:rFonts w:cs="Arial"/>
                <w:b/>
                <w:vertAlign w:val="superscript"/>
                <w:lang w:val="el-GR"/>
              </w:rPr>
              <w:t>)</w:t>
            </w:r>
            <w:r w:rsidR="00E3489C" w:rsidRPr="003A52B3">
              <w:rPr>
                <w:rFonts w:cs="Arial"/>
                <w:b/>
                <w:lang w:val="el-GR"/>
              </w:rPr>
              <w:t xml:space="preserve"> ΝΠΣ</w:t>
            </w:r>
          </w:p>
        </w:tc>
        <w:tc>
          <w:tcPr>
            <w:tcW w:w="2247" w:type="dxa"/>
            <w:shd w:val="clear" w:color="auto" w:fill="D9D9D9" w:themeFill="background1" w:themeFillShade="D9"/>
            <w:vAlign w:val="center"/>
          </w:tcPr>
          <w:p w14:paraId="691313FB" w14:textId="77777777" w:rsidR="001E31E0" w:rsidRPr="003A52B3" w:rsidRDefault="001E31E0" w:rsidP="00CE0EA4">
            <w:pPr>
              <w:pStyle w:val="ListParagraph"/>
              <w:spacing w:before="60" w:after="60"/>
              <w:ind w:left="0"/>
              <w:jc w:val="center"/>
              <w:rPr>
                <w:rFonts w:cs="Arial"/>
                <w:b/>
                <w:lang w:val="el-GR"/>
              </w:rPr>
            </w:pPr>
            <w:r w:rsidRPr="003A52B3">
              <w:rPr>
                <w:rFonts w:cs="Arial"/>
                <w:b/>
                <w:lang w:val="el-GR"/>
              </w:rPr>
              <w:t>Παρατηρήσεις</w:t>
            </w:r>
          </w:p>
        </w:tc>
      </w:tr>
      <w:tr w:rsidR="003A52B3" w:rsidRPr="003A52B3" w14:paraId="2F033964" w14:textId="77777777" w:rsidTr="00B90B8A">
        <w:tc>
          <w:tcPr>
            <w:tcW w:w="2394" w:type="dxa"/>
            <w:vAlign w:val="center"/>
          </w:tcPr>
          <w:p w14:paraId="3D9A8C01" w14:textId="77777777" w:rsidR="001E31E0" w:rsidRPr="003A52B3" w:rsidRDefault="001E31E0" w:rsidP="00CE0EA4">
            <w:pPr>
              <w:pStyle w:val="ListParagraph"/>
              <w:spacing w:before="60" w:after="60"/>
              <w:ind w:left="0"/>
              <w:jc w:val="center"/>
              <w:rPr>
                <w:rFonts w:cs="Arial"/>
                <w:lang w:val="el-GR"/>
              </w:rPr>
            </w:pPr>
            <w:r w:rsidRPr="003A52B3">
              <w:rPr>
                <w:rFonts w:cs="Arial"/>
                <w:lang w:val="el-GR"/>
              </w:rPr>
              <w:t>Δομοστατικός Μηχ/κός</w:t>
            </w:r>
          </w:p>
        </w:tc>
        <w:tc>
          <w:tcPr>
            <w:tcW w:w="2042" w:type="dxa"/>
            <w:vAlign w:val="center"/>
          </w:tcPr>
          <w:p w14:paraId="6CF9E27E" w14:textId="72033EF8" w:rsidR="001E31E0" w:rsidRPr="003A52B3" w:rsidRDefault="00CE0EA4" w:rsidP="00903D48">
            <w:pPr>
              <w:pStyle w:val="ListParagraph"/>
              <w:spacing w:before="60" w:after="60"/>
              <w:ind w:left="0"/>
              <w:jc w:val="center"/>
              <w:rPr>
                <w:rFonts w:cs="Arial"/>
                <w:lang w:val="el-GR"/>
              </w:rPr>
            </w:pPr>
            <w:r>
              <w:rPr>
                <w:rFonts w:cs="Arial"/>
                <w:lang w:val="el-GR"/>
              </w:rPr>
              <w:t>2</w:t>
            </w:r>
            <w:r w:rsidR="00903D48">
              <w:rPr>
                <w:rFonts w:cs="Arial"/>
                <w:lang w:val="el-GR"/>
              </w:rPr>
              <w:t>1</w:t>
            </w:r>
          </w:p>
        </w:tc>
        <w:tc>
          <w:tcPr>
            <w:tcW w:w="2105" w:type="dxa"/>
            <w:vAlign w:val="center"/>
          </w:tcPr>
          <w:p w14:paraId="4972FDB3" w14:textId="1AA57C5C" w:rsidR="001E31E0" w:rsidRPr="003A52B3" w:rsidRDefault="00CE0EA4" w:rsidP="00903D48">
            <w:pPr>
              <w:pStyle w:val="ListParagraph"/>
              <w:spacing w:before="60" w:after="60"/>
              <w:ind w:left="0"/>
              <w:jc w:val="center"/>
              <w:rPr>
                <w:rFonts w:cs="Arial"/>
                <w:lang w:val="el-GR"/>
              </w:rPr>
            </w:pPr>
            <w:r>
              <w:rPr>
                <w:rFonts w:cs="Arial"/>
                <w:lang w:val="el-GR"/>
              </w:rPr>
              <w:t>1</w:t>
            </w:r>
            <w:r w:rsidR="00903D48">
              <w:rPr>
                <w:rFonts w:cs="Arial"/>
                <w:lang w:val="el-GR"/>
              </w:rPr>
              <w:t>5</w:t>
            </w:r>
          </w:p>
        </w:tc>
        <w:tc>
          <w:tcPr>
            <w:tcW w:w="2247" w:type="dxa"/>
            <w:vAlign w:val="center"/>
          </w:tcPr>
          <w:p w14:paraId="5B7B94AB" w14:textId="70691964" w:rsidR="001E31E0" w:rsidRPr="003A52B3" w:rsidRDefault="001E31E0" w:rsidP="00903D48">
            <w:pPr>
              <w:pStyle w:val="ListParagraph"/>
              <w:spacing w:before="60" w:after="60"/>
              <w:ind w:left="0"/>
              <w:jc w:val="center"/>
              <w:rPr>
                <w:rFonts w:cs="Arial"/>
                <w:lang w:val="el-GR"/>
              </w:rPr>
            </w:pPr>
            <w:r w:rsidRPr="003A52B3">
              <w:rPr>
                <w:rFonts w:cs="Arial"/>
                <w:lang w:val="el-GR"/>
              </w:rPr>
              <w:t xml:space="preserve">Μείωση </w:t>
            </w:r>
            <w:r w:rsidR="00903D48">
              <w:rPr>
                <w:rFonts w:cs="Arial"/>
                <w:lang w:val="el-GR"/>
              </w:rPr>
              <w:t>29</w:t>
            </w:r>
            <w:r w:rsidRPr="003A52B3">
              <w:rPr>
                <w:rFonts w:cs="Arial"/>
                <w:lang w:val="el-GR"/>
              </w:rPr>
              <w:t>%</w:t>
            </w:r>
          </w:p>
        </w:tc>
      </w:tr>
      <w:tr w:rsidR="003A52B3" w:rsidRPr="003A52B3" w14:paraId="17B30875" w14:textId="77777777" w:rsidTr="00B90B8A">
        <w:tc>
          <w:tcPr>
            <w:tcW w:w="2394" w:type="dxa"/>
            <w:vAlign w:val="center"/>
          </w:tcPr>
          <w:p w14:paraId="29BD7FEE" w14:textId="05A1F69D" w:rsidR="001E31E0" w:rsidRPr="003A52B3" w:rsidRDefault="001E31E0" w:rsidP="00CE0EA4">
            <w:pPr>
              <w:pStyle w:val="ListParagraph"/>
              <w:spacing w:before="60" w:after="60"/>
              <w:ind w:left="0"/>
              <w:jc w:val="center"/>
              <w:rPr>
                <w:rFonts w:cs="Arial"/>
                <w:lang w:val="el-GR"/>
              </w:rPr>
            </w:pPr>
            <w:r w:rsidRPr="003A52B3">
              <w:rPr>
                <w:rFonts w:cs="Arial"/>
                <w:lang w:val="el-GR"/>
              </w:rPr>
              <w:t>Υδραυλικός Μηχ</w:t>
            </w:r>
            <w:r w:rsidR="00CE0EA4">
              <w:rPr>
                <w:rFonts w:cs="Arial"/>
                <w:lang w:val="el-GR"/>
              </w:rPr>
              <w:t>/</w:t>
            </w:r>
            <w:r w:rsidRPr="003A52B3">
              <w:rPr>
                <w:rFonts w:cs="Arial"/>
                <w:lang w:val="el-GR"/>
              </w:rPr>
              <w:t>κός</w:t>
            </w:r>
          </w:p>
        </w:tc>
        <w:tc>
          <w:tcPr>
            <w:tcW w:w="2042" w:type="dxa"/>
            <w:vAlign w:val="center"/>
          </w:tcPr>
          <w:p w14:paraId="65E195B1" w14:textId="5A3876DF" w:rsidR="001E31E0" w:rsidRPr="003A52B3" w:rsidRDefault="00903D48" w:rsidP="00CE0EA4">
            <w:pPr>
              <w:pStyle w:val="ListParagraph"/>
              <w:spacing w:before="60" w:after="60"/>
              <w:ind w:left="0"/>
              <w:jc w:val="center"/>
              <w:rPr>
                <w:rFonts w:cs="Arial"/>
                <w:vertAlign w:val="superscript"/>
                <w:lang w:val="el-GR"/>
              </w:rPr>
            </w:pPr>
            <w:r>
              <w:rPr>
                <w:rFonts w:cs="Arial"/>
                <w:lang w:val="el-GR"/>
              </w:rPr>
              <w:t>16</w:t>
            </w:r>
          </w:p>
        </w:tc>
        <w:tc>
          <w:tcPr>
            <w:tcW w:w="2105" w:type="dxa"/>
            <w:vAlign w:val="center"/>
          </w:tcPr>
          <w:p w14:paraId="1A38850A" w14:textId="6C132DFF" w:rsidR="001E31E0" w:rsidRPr="003A52B3" w:rsidRDefault="001E31E0" w:rsidP="00903D48">
            <w:pPr>
              <w:pStyle w:val="ListParagraph"/>
              <w:spacing w:before="60" w:after="60"/>
              <w:ind w:left="0"/>
              <w:jc w:val="center"/>
              <w:rPr>
                <w:rFonts w:cs="Arial"/>
                <w:vertAlign w:val="superscript"/>
                <w:lang w:val="el-GR"/>
              </w:rPr>
            </w:pPr>
            <w:r w:rsidRPr="003A52B3">
              <w:rPr>
                <w:rFonts w:cs="Arial"/>
                <w:lang w:val="el-GR"/>
              </w:rPr>
              <w:t>1</w:t>
            </w:r>
            <w:r w:rsidR="00903D48">
              <w:rPr>
                <w:rFonts w:cs="Arial"/>
                <w:lang w:val="el-GR"/>
              </w:rPr>
              <w:t>4</w:t>
            </w:r>
          </w:p>
        </w:tc>
        <w:tc>
          <w:tcPr>
            <w:tcW w:w="2247" w:type="dxa"/>
            <w:vAlign w:val="center"/>
          </w:tcPr>
          <w:p w14:paraId="05548D07" w14:textId="2D523A02" w:rsidR="001E31E0" w:rsidRPr="003A52B3" w:rsidRDefault="001E31E0" w:rsidP="00CE0EA4">
            <w:pPr>
              <w:pStyle w:val="ListParagraph"/>
              <w:spacing w:before="60" w:after="60"/>
              <w:ind w:left="0"/>
              <w:jc w:val="center"/>
              <w:rPr>
                <w:rFonts w:cs="Arial"/>
                <w:lang w:val="el-GR"/>
              </w:rPr>
            </w:pPr>
            <w:r w:rsidRPr="003A52B3">
              <w:rPr>
                <w:rFonts w:cs="Arial"/>
                <w:lang w:val="el-GR"/>
              </w:rPr>
              <w:t xml:space="preserve">Μείωση </w:t>
            </w:r>
            <w:r w:rsidR="00903D48">
              <w:rPr>
                <w:rFonts w:cs="Arial"/>
                <w:lang w:val="el-GR"/>
              </w:rPr>
              <w:t>1</w:t>
            </w:r>
            <w:r w:rsidR="00CE0EA4">
              <w:rPr>
                <w:rFonts w:cs="Arial"/>
                <w:lang w:val="el-GR"/>
              </w:rPr>
              <w:t>2</w:t>
            </w:r>
            <w:r w:rsidR="00903D48">
              <w:rPr>
                <w:rFonts w:cs="Arial"/>
                <w:lang w:val="el-GR"/>
              </w:rPr>
              <w:t>,</w:t>
            </w:r>
            <w:r w:rsidR="00CE0EA4">
              <w:rPr>
                <w:rFonts w:cs="Arial"/>
                <w:lang w:val="el-GR"/>
              </w:rPr>
              <w:t>5</w:t>
            </w:r>
            <w:r w:rsidRPr="003A52B3">
              <w:rPr>
                <w:rFonts w:cs="Arial"/>
                <w:lang w:val="el-GR"/>
              </w:rPr>
              <w:t>%</w:t>
            </w:r>
          </w:p>
        </w:tc>
      </w:tr>
      <w:tr w:rsidR="003A52B3" w:rsidRPr="003A52B3" w14:paraId="059C015D" w14:textId="77777777" w:rsidTr="00B90B8A">
        <w:tc>
          <w:tcPr>
            <w:tcW w:w="2394" w:type="dxa"/>
            <w:vAlign w:val="center"/>
          </w:tcPr>
          <w:p w14:paraId="4A582BD9" w14:textId="77777777" w:rsidR="001E31E0" w:rsidRPr="003A52B3" w:rsidRDefault="001E31E0" w:rsidP="00CE0EA4">
            <w:pPr>
              <w:pStyle w:val="ListParagraph"/>
              <w:spacing w:before="60" w:after="60"/>
              <w:ind w:left="0"/>
              <w:jc w:val="center"/>
              <w:rPr>
                <w:rFonts w:cs="Arial"/>
                <w:lang w:val="el-GR"/>
              </w:rPr>
            </w:pPr>
            <w:r w:rsidRPr="003A52B3">
              <w:rPr>
                <w:rFonts w:cs="Arial"/>
                <w:lang w:val="el-GR"/>
              </w:rPr>
              <w:t>Συγκ/κός Μηχανικός</w:t>
            </w:r>
          </w:p>
        </w:tc>
        <w:tc>
          <w:tcPr>
            <w:tcW w:w="2042" w:type="dxa"/>
            <w:vAlign w:val="center"/>
          </w:tcPr>
          <w:p w14:paraId="3396F847" w14:textId="77777777" w:rsidR="001E31E0" w:rsidRPr="003A52B3" w:rsidRDefault="001E31E0" w:rsidP="00CE0EA4">
            <w:pPr>
              <w:pStyle w:val="ListParagraph"/>
              <w:spacing w:before="60" w:after="60"/>
              <w:ind w:left="0"/>
              <w:jc w:val="center"/>
              <w:rPr>
                <w:rFonts w:cs="Arial"/>
                <w:lang w:val="el-GR"/>
              </w:rPr>
            </w:pPr>
            <w:r w:rsidRPr="003A52B3">
              <w:rPr>
                <w:rFonts w:cs="Arial"/>
                <w:lang w:val="el-GR"/>
              </w:rPr>
              <w:t>13</w:t>
            </w:r>
          </w:p>
        </w:tc>
        <w:tc>
          <w:tcPr>
            <w:tcW w:w="2105" w:type="dxa"/>
            <w:vAlign w:val="center"/>
          </w:tcPr>
          <w:p w14:paraId="41BF8A78" w14:textId="77777777" w:rsidR="001E31E0" w:rsidRPr="003A52B3" w:rsidRDefault="001E31E0" w:rsidP="00CE0EA4">
            <w:pPr>
              <w:pStyle w:val="ListParagraph"/>
              <w:spacing w:before="60" w:after="60"/>
              <w:ind w:left="0"/>
              <w:jc w:val="center"/>
              <w:rPr>
                <w:rFonts w:cs="Arial"/>
                <w:lang w:val="el-GR"/>
              </w:rPr>
            </w:pPr>
            <w:r w:rsidRPr="003A52B3">
              <w:rPr>
                <w:rFonts w:cs="Arial"/>
                <w:lang w:val="el-GR"/>
              </w:rPr>
              <w:t>12</w:t>
            </w:r>
          </w:p>
        </w:tc>
        <w:tc>
          <w:tcPr>
            <w:tcW w:w="2247" w:type="dxa"/>
            <w:vAlign w:val="center"/>
          </w:tcPr>
          <w:p w14:paraId="6C2FECCA" w14:textId="77777777" w:rsidR="001E31E0" w:rsidRPr="003A52B3" w:rsidRDefault="001E31E0" w:rsidP="00CE0EA4">
            <w:pPr>
              <w:pStyle w:val="ListParagraph"/>
              <w:spacing w:before="60" w:after="60"/>
              <w:ind w:left="0"/>
              <w:jc w:val="center"/>
              <w:rPr>
                <w:rFonts w:cs="Arial"/>
                <w:lang w:val="el-GR"/>
              </w:rPr>
            </w:pPr>
            <w:r w:rsidRPr="003A52B3">
              <w:rPr>
                <w:rFonts w:cs="Arial"/>
                <w:lang w:val="el-GR"/>
              </w:rPr>
              <w:t>Μείωση 8%</w:t>
            </w:r>
          </w:p>
        </w:tc>
      </w:tr>
      <w:tr w:rsidR="003A52B3" w:rsidRPr="003A52B3" w14:paraId="70B4CC26" w14:textId="77777777" w:rsidTr="00B90B8A">
        <w:tc>
          <w:tcPr>
            <w:tcW w:w="2394" w:type="dxa"/>
            <w:vAlign w:val="center"/>
          </w:tcPr>
          <w:p w14:paraId="4CED098D" w14:textId="77777777" w:rsidR="001E31E0" w:rsidRPr="003A52B3" w:rsidRDefault="001E31E0" w:rsidP="00CE0EA4">
            <w:pPr>
              <w:pStyle w:val="ListParagraph"/>
              <w:spacing w:before="60" w:after="60"/>
              <w:ind w:left="0"/>
              <w:jc w:val="center"/>
              <w:rPr>
                <w:rFonts w:cs="Arial"/>
                <w:lang w:val="el-GR"/>
              </w:rPr>
            </w:pPr>
            <w:r w:rsidRPr="003A52B3">
              <w:rPr>
                <w:rFonts w:cs="Arial"/>
                <w:lang w:val="el-GR"/>
              </w:rPr>
              <w:t>Γεωτεχνικός Μηχ/κός</w:t>
            </w:r>
          </w:p>
        </w:tc>
        <w:tc>
          <w:tcPr>
            <w:tcW w:w="2042" w:type="dxa"/>
            <w:vAlign w:val="center"/>
          </w:tcPr>
          <w:p w14:paraId="3C944BFA" w14:textId="77777777" w:rsidR="001E31E0" w:rsidRPr="003A52B3" w:rsidRDefault="001E31E0" w:rsidP="00CE0EA4">
            <w:pPr>
              <w:pStyle w:val="ListParagraph"/>
              <w:spacing w:before="60" w:after="60"/>
              <w:ind w:left="0"/>
              <w:jc w:val="center"/>
              <w:rPr>
                <w:rFonts w:cs="Arial"/>
                <w:lang w:val="el-GR"/>
              </w:rPr>
            </w:pPr>
            <w:r w:rsidRPr="003A52B3">
              <w:rPr>
                <w:rFonts w:cs="Arial"/>
                <w:lang w:val="el-GR"/>
              </w:rPr>
              <w:t>12</w:t>
            </w:r>
          </w:p>
        </w:tc>
        <w:tc>
          <w:tcPr>
            <w:tcW w:w="2105" w:type="dxa"/>
            <w:vAlign w:val="center"/>
          </w:tcPr>
          <w:p w14:paraId="203382EC" w14:textId="657E8780" w:rsidR="001E31E0" w:rsidRPr="003A52B3" w:rsidRDefault="001E31E0" w:rsidP="00C90C2F">
            <w:pPr>
              <w:pStyle w:val="ListParagraph"/>
              <w:spacing w:before="60" w:after="60"/>
              <w:ind w:left="0"/>
              <w:jc w:val="center"/>
              <w:rPr>
                <w:rFonts w:cs="Arial"/>
                <w:lang w:val="el-GR"/>
              </w:rPr>
            </w:pPr>
            <w:r w:rsidRPr="003A52B3">
              <w:rPr>
                <w:rFonts w:cs="Arial"/>
                <w:lang w:val="el-GR"/>
              </w:rPr>
              <w:t>1</w:t>
            </w:r>
            <w:r w:rsidR="00C90C2F">
              <w:rPr>
                <w:rFonts w:cs="Arial"/>
                <w:lang w:val="el-GR"/>
              </w:rPr>
              <w:t>2</w:t>
            </w:r>
          </w:p>
        </w:tc>
        <w:tc>
          <w:tcPr>
            <w:tcW w:w="2247" w:type="dxa"/>
            <w:vAlign w:val="center"/>
          </w:tcPr>
          <w:p w14:paraId="73326E0D" w14:textId="0F846201" w:rsidR="001E31E0" w:rsidRPr="003A52B3" w:rsidRDefault="00C90C2F" w:rsidP="00CE0EA4">
            <w:pPr>
              <w:pStyle w:val="ListParagraph"/>
              <w:spacing w:before="60" w:after="60"/>
              <w:ind w:left="0"/>
              <w:jc w:val="center"/>
              <w:rPr>
                <w:rFonts w:cs="Arial"/>
                <w:lang w:val="el-GR"/>
              </w:rPr>
            </w:pPr>
            <w:r>
              <w:rPr>
                <w:rFonts w:cs="Arial"/>
                <w:lang w:val="el-GR"/>
              </w:rPr>
              <w:t>-</w:t>
            </w:r>
          </w:p>
        </w:tc>
      </w:tr>
    </w:tbl>
    <w:p w14:paraId="6308CF81" w14:textId="46883126" w:rsidR="001E31E0" w:rsidRPr="003A52B3" w:rsidRDefault="001E31E0" w:rsidP="00B90B8A">
      <w:pPr>
        <w:pStyle w:val="ListParagraph"/>
        <w:spacing w:before="60" w:after="0"/>
        <w:ind w:left="709" w:hanging="283"/>
        <w:contextualSpacing w:val="0"/>
        <w:jc w:val="both"/>
        <w:rPr>
          <w:rFonts w:cs="Arial"/>
          <w:sz w:val="18"/>
          <w:szCs w:val="18"/>
          <w:lang w:val="el-GR"/>
        </w:rPr>
      </w:pPr>
      <w:r w:rsidRPr="003A52B3">
        <w:rPr>
          <w:rFonts w:cs="Arial"/>
          <w:sz w:val="18"/>
          <w:szCs w:val="18"/>
          <w:vertAlign w:val="superscript"/>
          <w:lang w:val="el-GR"/>
        </w:rPr>
        <w:t>(</w:t>
      </w:r>
      <w:r w:rsidR="00CE0EA4">
        <w:rPr>
          <w:rFonts w:cs="Arial"/>
          <w:sz w:val="18"/>
          <w:szCs w:val="18"/>
          <w:vertAlign w:val="superscript"/>
          <w:lang w:val="el-GR"/>
        </w:rPr>
        <w:t>*</w:t>
      </w:r>
      <w:r w:rsidRPr="003A52B3">
        <w:rPr>
          <w:rFonts w:cs="Arial"/>
          <w:sz w:val="18"/>
          <w:szCs w:val="18"/>
          <w:vertAlign w:val="superscript"/>
          <w:lang w:val="el-GR"/>
        </w:rPr>
        <w:t>)</w:t>
      </w:r>
      <w:r w:rsidRPr="003A52B3">
        <w:rPr>
          <w:rFonts w:cs="Arial"/>
          <w:sz w:val="18"/>
          <w:szCs w:val="18"/>
          <w:lang w:val="el-GR"/>
        </w:rPr>
        <w:t xml:space="preserve"> </w:t>
      </w:r>
      <w:r w:rsidRPr="003A52B3">
        <w:rPr>
          <w:rFonts w:cs="Arial"/>
          <w:sz w:val="18"/>
          <w:szCs w:val="18"/>
          <w:lang w:val="el-GR"/>
        </w:rPr>
        <w:tab/>
        <w:t xml:space="preserve">Έχει θεωρηθεί ότι από τα 12 μαθήματα Κατευθύνσεων (εξάμηνα 8,9 στο Σχέδιο 1 και εξάμηνα 7,8,9 στο Σχέδιο 2) ο μέγιστος αριθμός μαθημάτων του Τομέα είναι 9, αφού </w:t>
      </w:r>
      <w:r w:rsidR="00903D48">
        <w:rPr>
          <w:rFonts w:cs="Arial"/>
          <w:sz w:val="18"/>
          <w:szCs w:val="18"/>
          <w:lang w:val="el-GR"/>
        </w:rPr>
        <w:t xml:space="preserve">τα </w:t>
      </w:r>
      <w:r w:rsidRPr="003A52B3">
        <w:rPr>
          <w:rFonts w:cs="Arial"/>
          <w:sz w:val="18"/>
          <w:szCs w:val="18"/>
          <w:lang w:val="el-GR"/>
        </w:rPr>
        <w:t>3 είναι υποχρεωτικά από άλλους Τομείς</w:t>
      </w:r>
    </w:p>
    <w:p w14:paraId="3A2D7F96" w14:textId="438FE987" w:rsidR="002E3E63" w:rsidRPr="00B221F4" w:rsidRDefault="007F5C68" w:rsidP="007D0794">
      <w:pPr>
        <w:pStyle w:val="ListParagraph"/>
        <w:numPr>
          <w:ilvl w:val="0"/>
          <w:numId w:val="3"/>
        </w:numPr>
        <w:spacing w:before="120" w:after="0"/>
        <w:ind w:left="426" w:hanging="426"/>
        <w:contextualSpacing w:val="0"/>
        <w:jc w:val="both"/>
        <w:rPr>
          <w:rFonts w:cs="Arial"/>
          <w:lang w:val="el-GR"/>
        </w:rPr>
      </w:pPr>
      <w:r w:rsidRPr="00B221F4">
        <w:rPr>
          <w:rFonts w:cs="Arial"/>
          <w:lang w:val="el-GR"/>
        </w:rPr>
        <w:t xml:space="preserve">Είναι εμφανές ότι στην Εισήγηση </w:t>
      </w:r>
      <w:r w:rsidR="00C86354" w:rsidRPr="00B221F4">
        <w:rPr>
          <w:rFonts w:cs="Arial"/>
          <w:lang w:val="el-GR"/>
        </w:rPr>
        <w:t xml:space="preserve">της ΕΠΣ </w:t>
      </w:r>
      <w:r w:rsidRPr="00B221F4">
        <w:rPr>
          <w:rFonts w:cs="Arial"/>
          <w:lang w:val="el-GR"/>
        </w:rPr>
        <w:t xml:space="preserve"> </w:t>
      </w:r>
      <w:r w:rsidR="00C86354" w:rsidRPr="00B221F4">
        <w:rPr>
          <w:rFonts w:cs="Arial"/>
          <w:lang w:val="el-GR"/>
        </w:rPr>
        <w:t>δεν έχει ληφθεί υπόψη η ενα</w:t>
      </w:r>
      <w:r w:rsidR="004B57EC" w:rsidRPr="00B221F4">
        <w:rPr>
          <w:rFonts w:cs="Arial"/>
          <w:lang w:val="el-GR"/>
        </w:rPr>
        <w:t>ρμόνιση του Προγράμματος Σπουδών μιας σύγχρονης Σχολής Π.Μ. με τις απαιτήσεις της «αγοράς». Έτσι, δεν έχει</w:t>
      </w:r>
      <w:r w:rsidRPr="00B221F4">
        <w:rPr>
          <w:rFonts w:cs="Arial"/>
          <w:lang w:val="el-GR"/>
        </w:rPr>
        <w:t xml:space="preserve"> ληφθεί υπόψη ότι </w:t>
      </w:r>
      <w:r w:rsidR="004B57EC" w:rsidRPr="00B221F4">
        <w:rPr>
          <w:rFonts w:cs="Arial"/>
          <w:lang w:val="el-GR"/>
        </w:rPr>
        <w:t>οι από</w:t>
      </w:r>
      <w:r w:rsidRPr="00B221F4">
        <w:rPr>
          <w:rFonts w:cs="Arial"/>
          <w:lang w:val="el-GR"/>
        </w:rPr>
        <w:t>φο</w:t>
      </w:r>
      <w:r w:rsidR="004B57EC" w:rsidRPr="00B221F4">
        <w:rPr>
          <w:rFonts w:cs="Arial"/>
          <w:lang w:val="el-GR"/>
        </w:rPr>
        <w:t>ιτοί</w:t>
      </w:r>
      <w:r w:rsidRPr="00B221F4">
        <w:rPr>
          <w:rFonts w:cs="Arial"/>
          <w:lang w:val="el-GR"/>
        </w:rPr>
        <w:t xml:space="preserve"> μας</w:t>
      </w:r>
      <w:r w:rsidR="004B57EC" w:rsidRPr="00B221F4">
        <w:rPr>
          <w:rFonts w:cs="Arial"/>
          <w:lang w:val="el-GR"/>
        </w:rPr>
        <w:t xml:space="preserve"> στην πλειονότητά τους</w:t>
      </w:r>
      <w:r w:rsidRPr="00B221F4">
        <w:rPr>
          <w:rFonts w:cs="Arial"/>
          <w:lang w:val="el-GR"/>
        </w:rPr>
        <w:t xml:space="preserve">, </w:t>
      </w:r>
      <w:r w:rsidR="004B57EC" w:rsidRPr="00B221F4">
        <w:rPr>
          <w:rFonts w:cs="Arial"/>
          <w:lang w:val="el-GR"/>
        </w:rPr>
        <w:t xml:space="preserve">και μάλιστα </w:t>
      </w:r>
      <w:r w:rsidRPr="00B221F4">
        <w:rPr>
          <w:rFonts w:cs="Arial"/>
          <w:lang w:val="el-GR"/>
        </w:rPr>
        <w:t xml:space="preserve">σε πολύ μεγάλο ποσοστό, </w:t>
      </w:r>
      <w:r w:rsidR="002362B2">
        <w:rPr>
          <w:rFonts w:cs="Arial"/>
          <w:lang w:val="el-GR"/>
        </w:rPr>
        <w:t xml:space="preserve">και </w:t>
      </w:r>
      <w:r w:rsidR="002362B2" w:rsidRPr="00B221F4">
        <w:rPr>
          <w:rFonts w:cs="Arial"/>
          <w:lang w:val="el-GR"/>
        </w:rPr>
        <w:t xml:space="preserve">ανεξαρτήτως της κατεύθυνσης που επέλεξαν κατά τη διάρκεια των σπουδών τους, </w:t>
      </w:r>
      <w:r w:rsidRPr="00B221F4">
        <w:rPr>
          <w:rFonts w:cs="Arial"/>
          <w:lang w:val="el-GR"/>
        </w:rPr>
        <w:t>ασχολ</w:t>
      </w:r>
      <w:r w:rsidR="004B57EC" w:rsidRPr="00B221F4">
        <w:rPr>
          <w:rFonts w:cs="Arial"/>
          <w:lang w:val="el-GR"/>
        </w:rPr>
        <w:t>ούν</w:t>
      </w:r>
      <w:r w:rsidRPr="00B221F4">
        <w:rPr>
          <w:rFonts w:cs="Arial"/>
          <w:lang w:val="el-GR"/>
        </w:rPr>
        <w:t xml:space="preserve">ται </w:t>
      </w:r>
      <w:r w:rsidR="004B57EC" w:rsidRPr="00B221F4">
        <w:rPr>
          <w:rFonts w:cs="Arial"/>
          <w:lang w:val="el-GR"/>
        </w:rPr>
        <w:t xml:space="preserve">επαγγελματικά </w:t>
      </w:r>
      <w:r w:rsidRPr="00B221F4">
        <w:rPr>
          <w:rFonts w:cs="Arial"/>
          <w:lang w:val="el-GR"/>
        </w:rPr>
        <w:t xml:space="preserve">με μελέτες και έργα </w:t>
      </w:r>
      <w:r w:rsidRPr="00B221F4">
        <w:rPr>
          <w:rFonts w:cs="Arial"/>
          <w:b/>
          <w:lang w:val="el-GR"/>
        </w:rPr>
        <w:t>δομοστατικού μηχανικού</w:t>
      </w:r>
      <w:r w:rsidR="004B57EC" w:rsidRPr="00B221F4">
        <w:rPr>
          <w:rFonts w:cs="Arial"/>
          <w:lang w:val="el-GR"/>
        </w:rPr>
        <w:t>,</w:t>
      </w:r>
      <w:r w:rsidRPr="00B221F4">
        <w:rPr>
          <w:rFonts w:cs="Arial"/>
          <w:lang w:val="el-GR"/>
        </w:rPr>
        <w:t xml:space="preserve"> </w:t>
      </w:r>
      <w:r w:rsidR="0038722E" w:rsidRPr="00B221F4">
        <w:rPr>
          <w:rFonts w:cs="Arial"/>
          <w:lang w:val="el-GR"/>
        </w:rPr>
        <w:t>τα οποία επι</w:t>
      </w:r>
      <w:r w:rsidR="006214F4" w:rsidRPr="00B221F4">
        <w:rPr>
          <w:rFonts w:cs="Arial"/>
          <w:lang w:val="el-GR"/>
        </w:rPr>
        <w:t>σύρουν και μεγάλες αστικές και ποινικές ευθύνες</w:t>
      </w:r>
      <w:r w:rsidRPr="00B221F4">
        <w:rPr>
          <w:rFonts w:cs="Arial"/>
          <w:lang w:val="el-GR"/>
        </w:rPr>
        <w:t xml:space="preserve">. </w:t>
      </w:r>
      <w:r w:rsidR="004B57EC" w:rsidRPr="00B221F4">
        <w:rPr>
          <w:rFonts w:cs="Arial"/>
          <w:lang w:val="el-GR"/>
        </w:rPr>
        <w:t>Θα έπρεπε, επομένως,</w:t>
      </w:r>
      <w:r w:rsidRPr="00B221F4">
        <w:rPr>
          <w:rFonts w:cs="Arial"/>
          <w:lang w:val="el-GR"/>
        </w:rPr>
        <w:t xml:space="preserve"> τα </w:t>
      </w:r>
      <w:r w:rsidR="00BE3904">
        <w:rPr>
          <w:rFonts w:cs="Arial"/>
          <w:lang w:val="el-GR"/>
        </w:rPr>
        <w:t xml:space="preserve">δομοστατικά </w:t>
      </w:r>
      <w:r w:rsidRPr="00B221F4">
        <w:rPr>
          <w:rFonts w:cs="Arial"/>
          <w:lang w:val="el-GR"/>
        </w:rPr>
        <w:t xml:space="preserve">μαθήματα να </w:t>
      </w:r>
      <w:r w:rsidR="004B57EC" w:rsidRPr="00B221F4">
        <w:rPr>
          <w:rFonts w:cs="Arial"/>
          <w:lang w:val="el-GR"/>
        </w:rPr>
        <w:t xml:space="preserve">ενισχυθούν και όχι να γίνει δραστική μείωσή τους, όπως </w:t>
      </w:r>
      <w:r w:rsidR="00E4625D" w:rsidRPr="00B221F4">
        <w:rPr>
          <w:rFonts w:cs="Arial"/>
          <w:lang w:val="el-GR"/>
        </w:rPr>
        <w:t>προτείνεται με την εισήγηση της ΕΠΣ</w:t>
      </w:r>
      <w:r w:rsidR="004B57EC" w:rsidRPr="00B221F4">
        <w:rPr>
          <w:rFonts w:cs="Arial"/>
          <w:lang w:val="el-GR"/>
        </w:rPr>
        <w:t>.</w:t>
      </w:r>
    </w:p>
    <w:p w14:paraId="3A0A7C15" w14:textId="729EB5C3" w:rsidR="00E4625D" w:rsidRPr="00B221F4" w:rsidRDefault="001B611B" w:rsidP="007D0794">
      <w:pPr>
        <w:pStyle w:val="ListParagraph"/>
        <w:numPr>
          <w:ilvl w:val="0"/>
          <w:numId w:val="3"/>
        </w:numPr>
        <w:spacing w:before="120" w:after="0"/>
        <w:ind w:left="426" w:hanging="426"/>
        <w:contextualSpacing w:val="0"/>
        <w:jc w:val="both"/>
        <w:rPr>
          <w:rFonts w:cs="Arial"/>
          <w:lang w:val="el-GR"/>
        </w:rPr>
      </w:pPr>
      <w:r w:rsidRPr="00B221F4">
        <w:rPr>
          <w:rFonts w:cs="Arial"/>
          <w:lang w:val="el-GR"/>
        </w:rPr>
        <w:t xml:space="preserve">Το </w:t>
      </w:r>
      <w:r w:rsidR="00BE3904">
        <w:rPr>
          <w:rFonts w:cs="Arial"/>
          <w:lang w:val="el-GR"/>
        </w:rPr>
        <w:t xml:space="preserve">προτεινόμενο </w:t>
      </w:r>
      <w:r w:rsidRPr="00B221F4">
        <w:rPr>
          <w:rFonts w:cs="Arial"/>
          <w:lang w:val="el-GR"/>
        </w:rPr>
        <w:t>πρόγραμμα φαίνεται ότι προέκυψε ως προσπάθεια ικανοποίησης του στόχου των 54 μαθημάτων και όχι κάλυψης των</w:t>
      </w:r>
      <w:r w:rsidR="005B78BD" w:rsidRPr="00B221F4">
        <w:rPr>
          <w:rFonts w:cs="Arial"/>
          <w:lang w:val="el-GR"/>
        </w:rPr>
        <w:t xml:space="preserve"> σύγχρονων</w:t>
      </w:r>
      <w:r w:rsidRPr="00B221F4">
        <w:rPr>
          <w:rFonts w:cs="Arial"/>
          <w:lang w:val="el-GR"/>
        </w:rPr>
        <w:t xml:space="preserve"> επιστημονικών</w:t>
      </w:r>
      <w:r w:rsidR="005B78BD" w:rsidRPr="00B221F4">
        <w:rPr>
          <w:rFonts w:cs="Arial"/>
          <w:lang w:val="el-GR"/>
        </w:rPr>
        <w:t xml:space="preserve"> απαιτήσεων από ένα</w:t>
      </w:r>
      <w:r w:rsidR="00E145D7" w:rsidRPr="00B221F4">
        <w:rPr>
          <w:rFonts w:cs="Arial"/>
          <w:lang w:val="el-GR"/>
        </w:rPr>
        <w:t>ν</w:t>
      </w:r>
      <w:r w:rsidR="005B78BD" w:rsidRPr="00B221F4">
        <w:rPr>
          <w:rFonts w:cs="Arial"/>
          <w:lang w:val="el-GR"/>
        </w:rPr>
        <w:t xml:space="preserve"> ΠΜ.</w:t>
      </w:r>
      <w:r w:rsidR="004E4C78" w:rsidRPr="00B221F4">
        <w:rPr>
          <w:rFonts w:cs="Arial"/>
          <w:lang w:val="el-GR"/>
        </w:rPr>
        <w:t xml:space="preserve"> Ο συνολικός αριθμός </w:t>
      </w:r>
      <w:r w:rsidR="004E4C78" w:rsidRPr="00B221F4">
        <w:rPr>
          <w:lang w:val="el-GR"/>
        </w:rPr>
        <w:t>54 μαθ</w:t>
      </w:r>
      <w:r w:rsidR="00E4625D" w:rsidRPr="00B221F4">
        <w:rPr>
          <w:lang w:val="el-GR"/>
        </w:rPr>
        <w:t>ημάτων</w:t>
      </w:r>
      <w:r w:rsidR="004E4C78" w:rsidRPr="00B221F4">
        <w:rPr>
          <w:lang w:val="el-GR"/>
        </w:rPr>
        <w:t xml:space="preserve"> δεν </w:t>
      </w:r>
      <w:r w:rsidR="00E4625D" w:rsidRPr="00B221F4">
        <w:rPr>
          <w:lang w:val="el-GR"/>
        </w:rPr>
        <w:t xml:space="preserve">πρέπει να </w:t>
      </w:r>
      <w:r w:rsidR="004E4C78" w:rsidRPr="00B221F4">
        <w:rPr>
          <w:lang w:val="el-GR"/>
        </w:rPr>
        <w:t xml:space="preserve">είναι απαράβατος αν </w:t>
      </w:r>
      <w:r w:rsidR="00161F55">
        <w:rPr>
          <w:lang w:val="el-GR"/>
        </w:rPr>
        <w:t xml:space="preserve">αυτό </w:t>
      </w:r>
      <w:r w:rsidR="004E4C78" w:rsidRPr="00B221F4">
        <w:rPr>
          <w:lang w:val="el-GR"/>
        </w:rPr>
        <w:t xml:space="preserve">δεν προκύπτει και δεν </w:t>
      </w:r>
      <w:r w:rsidR="00E4625D" w:rsidRPr="00B221F4">
        <w:rPr>
          <w:lang w:val="el-GR"/>
        </w:rPr>
        <w:t>συμβιβάζεται με</w:t>
      </w:r>
      <w:r w:rsidR="004E4C78" w:rsidRPr="00B221F4">
        <w:rPr>
          <w:lang w:val="el-GR"/>
        </w:rPr>
        <w:t xml:space="preserve"> τις ώρες</w:t>
      </w:r>
      <w:r w:rsidR="004D0557" w:rsidRPr="00B221F4">
        <w:rPr>
          <w:lang w:val="el-GR"/>
        </w:rPr>
        <w:t xml:space="preserve"> των</w:t>
      </w:r>
      <w:r w:rsidR="00E4625D" w:rsidRPr="00B221F4">
        <w:rPr>
          <w:lang w:val="el-GR"/>
        </w:rPr>
        <w:t xml:space="preserve"> απαιτούμενων</w:t>
      </w:r>
      <w:r w:rsidR="004D0557" w:rsidRPr="00B221F4">
        <w:rPr>
          <w:lang w:val="el-GR"/>
        </w:rPr>
        <w:t xml:space="preserve"> μαθημάτων</w:t>
      </w:r>
      <w:r w:rsidR="004E4C78" w:rsidRPr="00B221F4">
        <w:rPr>
          <w:lang w:val="el-GR"/>
        </w:rPr>
        <w:t xml:space="preserve">. </w:t>
      </w:r>
    </w:p>
    <w:p w14:paraId="443EC844" w14:textId="69CD9E04" w:rsidR="00BE3904" w:rsidRDefault="00BE3904" w:rsidP="007D0794">
      <w:pPr>
        <w:pStyle w:val="ListParagraph"/>
        <w:numPr>
          <w:ilvl w:val="0"/>
          <w:numId w:val="3"/>
        </w:numPr>
        <w:spacing w:before="120" w:after="0"/>
        <w:ind w:left="426" w:hanging="426"/>
        <w:contextualSpacing w:val="0"/>
        <w:jc w:val="both"/>
        <w:rPr>
          <w:rFonts w:cs="Arial"/>
          <w:lang w:val="el-GR"/>
        </w:rPr>
      </w:pPr>
      <w:r w:rsidRPr="00B221F4">
        <w:rPr>
          <w:rFonts w:cs="Arial"/>
          <w:lang w:val="el-GR"/>
        </w:rPr>
        <w:t xml:space="preserve">Η </w:t>
      </w:r>
      <w:r w:rsidR="00D76F43">
        <w:rPr>
          <w:rFonts w:cs="Arial"/>
          <w:lang w:val="el-GR"/>
        </w:rPr>
        <w:t xml:space="preserve">θέση </w:t>
      </w:r>
      <w:r w:rsidRPr="00B221F4">
        <w:rPr>
          <w:rFonts w:cs="Arial"/>
          <w:lang w:val="el-GR"/>
        </w:rPr>
        <w:t xml:space="preserve">του Τομέα Δομοστατικής είναι ότι της οποιασδήποτε συγχώνευσης/περικοπής μαθημάτων </w:t>
      </w:r>
      <w:r w:rsidRPr="00B221F4">
        <w:rPr>
          <w:rFonts w:cs="Arial"/>
          <w:b/>
          <w:lang w:val="el-GR"/>
        </w:rPr>
        <w:t xml:space="preserve">πρέπει να προηγηθεί </w:t>
      </w:r>
      <w:r w:rsidRPr="00B221F4">
        <w:rPr>
          <w:rFonts w:cs="Arial"/>
          <w:lang w:val="el-GR"/>
        </w:rPr>
        <w:t>σχετική εισήγηση των Τομέων για εξορθολογισμό των μαθημάτων που τους αφορούν.</w:t>
      </w:r>
    </w:p>
    <w:p w14:paraId="1E593B29" w14:textId="348AB139" w:rsidR="00EF199E" w:rsidRPr="00B221F4" w:rsidRDefault="00EF199E" w:rsidP="007D0794">
      <w:pPr>
        <w:pStyle w:val="ListParagraph"/>
        <w:numPr>
          <w:ilvl w:val="0"/>
          <w:numId w:val="3"/>
        </w:numPr>
        <w:spacing w:before="120" w:after="0"/>
        <w:ind w:left="426" w:hanging="426"/>
        <w:contextualSpacing w:val="0"/>
        <w:jc w:val="both"/>
        <w:rPr>
          <w:rFonts w:cs="Arial"/>
          <w:lang w:val="el-GR"/>
        </w:rPr>
      </w:pPr>
      <w:r>
        <w:rPr>
          <w:rFonts w:cs="Arial"/>
          <w:lang w:val="el-GR"/>
        </w:rPr>
        <w:t xml:space="preserve">Ο Τομέας Δομοστατικής διαφωνεί ριζικά με τον περιορισμό ότι 3 μαθήματα κατευθύνσεων των ανώτερων εξαμήνων πρέπει να </w:t>
      </w:r>
      <w:r w:rsidR="00161F55">
        <w:rPr>
          <w:rFonts w:cs="Arial"/>
          <w:lang w:val="el-GR"/>
        </w:rPr>
        <w:t xml:space="preserve">προέρχονται </w:t>
      </w:r>
      <w:r>
        <w:rPr>
          <w:rFonts w:cs="Arial"/>
          <w:lang w:val="el-GR"/>
        </w:rPr>
        <w:t>υποχρεωτικά από άλλους Τομείς. Στο 8</w:t>
      </w:r>
      <w:r w:rsidRPr="00EF199E">
        <w:rPr>
          <w:rFonts w:cs="Arial"/>
          <w:vertAlign w:val="superscript"/>
          <w:lang w:val="el-GR"/>
        </w:rPr>
        <w:t>ο</w:t>
      </w:r>
      <w:r>
        <w:rPr>
          <w:rFonts w:cs="Arial"/>
          <w:lang w:val="el-GR"/>
        </w:rPr>
        <w:t xml:space="preserve"> και το 9</w:t>
      </w:r>
      <w:r w:rsidRPr="00EF199E">
        <w:rPr>
          <w:rFonts w:cs="Arial"/>
          <w:vertAlign w:val="superscript"/>
          <w:lang w:val="el-GR"/>
        </w:rPr>
        <w:t>ο</w:t>
      </w:r>
      <w:r>
        <w:rPr>
          <w:rFonts w:cs="Arial"/>
          <w:lang w:val="el-GR"/>
        </w:rPr>
        <w:t xml:space="preserve"> εξάμηνο γίνεται η εξειδίκευση κάθε κατεύθυνσης και οι σπουδαστές</w:t>
      </w:r>
      <w:r w:rsidR="00430007">
        <w:rPr>
          <w:rFonts w:cs="Arial"/>
          <w:lang w:val="el-GR"/>
        </w:rPr>
        <w:t xml:space="preserve">, οι οποίοι σε αυτό το στάδιο των σπουδών τους είναι </w:t>
      </w:r>
      <w:r>
        <w:rPr>
          <w:rFonts w:cs="Arial"/>
          <w:lang w:val="el-GR"/>
        </w:rPr>
        <w:t xml:space="preserve">ώριμοι να </w:t>
      </w:r>
      <w:r w:rsidR="00430007">
        <w:rPr>
          <w:rFonts w:cs="Arial"/>
          <w:lang w:val="el-GR"/>
        </w:rPr>
        <w:t xml:space="preserve">αποφασίσουν, πρέπει να έχουν τη δυνατότητα να </w:t>
      </w:r>
      <w:r w:rsidR="00161F55">
        <w:rPr>
          <w:rFonts w:cs="Arial"/>
          <w:lang w:val="el-GR"/>
        </w:rPr>
        <w:t xml:space="preserve">επιλέξουν </w:t>
      </w:r>
      <w:r w:rsidR="00430007">
        <w:rPr>
          <w:rFonts w:cs="Arial"/>
          <w:lang w:val="el-GR"/>
        </w:rPr>
        <w:t>μαθήματα αποκλειστικά από την κατεύθυνση που τους ενδιαφέρει.</w:t>
      </w:r>
      <w:r>
        <w:rPr>
          <w:rFonts w:cs="Arial"/>
          <w:lang w:val="el-GR"/>
        </w:rPr>
        <w:t xml:space="preserve"> </w:t>
      </w:r>
    </w:p>
    <w:p w14:paraId="1DE583EA" w14:textId="097A96A9" w:rsidR="003F0FC5" w:rsidRDefault="00BE3904" w:rsidP="007D0794">
      <w:pPr>
        <w:pStyle w:val="ListParagraph"/>
        <w:numPr>
          <w:ilvl w:val="0"/>
          <w:numId w:val="3"/>
        </w:numPr>
        <w:spacing w:before="120" w:after="0"/>
        <w:ind w:left="426" w:hanging="426"/>
        <w:contextualSpacing w:val="0"/>
        <w:jc w:val="both"/>
        <w:rPr>
          <w:lang w:val="el-GR"/>
        </w:rPr>
      </w:pPr>
      <w:r>
        <w:rPr>
          <w:rFonts w:cs="Arial"/>
          <w:lang w:val="el-GR"/>
        </w:rPr>
        <w:t>Σ</w:t>
      </w:r>
      <w:r w:rsidRPr="00B221F4">
        <w:rPr>
          <w:rFonts w:cs="Arial"/>
          <w:lang w:val="el-GR"/>
        </w:rPr>
        <w:t xml:space="preserve">το σκεπτικό της ΕΠΣ αναφέρεται ότι </w:t>
      </w:r>
      <w:r>
        <w:rPr>
          <w:lang w:val="el-GR"/>
        </w:rPr>
        <w:t>γ</w:t>
      </w:r>
      <w:r w:rsidR="004D0557" w:rsidRPr="00B221F4">
        <w:rPr>
          <w:lang w:val="el-GR"/>
        </w:rPr>
        <w:t>ια</w:t>
      </w:r>
      <w:r w:rsidR="004D0557" w:rsidRPr="00B221F4">
        <w:rPr>
          <w:rFonts w:cs="Arial"/>
          <w:lang w:val="el-GR"/>
        </w:rPr>
        <w:t xml:space="preserve"> την επιλογή/παράλειψη μαθημάτων έχουν ληφθεί υπόψη τα ερωτηματολόγια των φοιτητ</w:t>
      </w:r>
      <w:r w:rsidR="00972CF9" w:rsidRPr="00B221F4">
        <w:rPr>
          <w:rFonts w:cs="Arial"/>
          <w:lang w:val="el-GR"/>
        </w:rPr>
        <w:t xml:space="preserve">ών, το οποίο </w:t>
      </w:r>
      <w:r>
        <w:rPr>
          <w:rFonts w:cs="Arial"/>
          <w:lang w:val="el-GR"/>
        </w:rPr>
        <w:t xml:space="preserve">όμως </w:t>
      </w:r>
      <w:r w:rsidR="003F0FC5" w:rsidRPr="00B221F4">
        <w:rPr>
          <w:rFonts w:cs="Arial"/>
          <w:lang w:val="el-GR"/>
        </w:rPr>
        <w:t>δεν επιβεβαιώνεται</w:t>
      </w:r>
      <w:r w:rsidR="00430007">
        <w:rPr>
          <w:rFonts w:cs="Arial"/>
          <w:lang w:val="el-GR"/>
        </w:rPr>
        <w:t xml:space="preserve"> από την επιλογή των καταργούμενων μαθημάτων</w:t>
      </w:r>
      <w:r w:rsidR="00972CF9" w:rsidRPr="00B221F4">
        <w:rPr>
          <w:rFonts w:cs="Arial"/>
          <w:lang w:val="el-GR"/>
        </w:rPr>
        <w:t xml:space="preserve">. </w:t>
      </w:r>
      <w:r w:rsidR="003F0FC5" w:rsidRPr="00B221F4">
        <w:rPr>
          <w:lang w:val="el-GR"/>
        </w:rPr>
        <w:t xml:space="preserve">Μελετώντας τον κατάλογο των καταργούμενων </w:t>
      </w:r>
      <w:r>
        <w:rPr>
          <w:lang w:val="el-GR"/>
        </w:rPr>
        <w:t xml:space="preserve">μαθημάτων </w:t>
      </w:r>
      <w:r w:rsidR="003F0FC5" w:rsidRPr="00B221F4">
        <w:rPr>
          <w:lang w:val="el-GR"/>
        </w:rPr>
        <w:t xml:space="preserve">κορμού σε συνδυασμό με τα αποτελέσματα </w:t>
      </w:r>
      <w:r w:rsidR="00430007">
        <w:rPr>
          <w:lang w:val="el-GR"/>
        </w:rPr>
        <w:t xml:space="preserve">της </w:t>
      </w:r>
      <w:r w:rsidR="003F0FC5" w:rsidRPr="00B221F4">
        <w:rPr>
          <w:lang w:val="el-GR"/>
        </w:rPr>
        <w:t xml:space="preserve">στατιστικής επεξεργασίας των ερωτηματολογίων που </w:t>
      </w:r>
      <w:r w:rsidR="003F0FC5" w:rsidRPr="00B221F4">
        <w:rPr>
          <w:lang w:val="el-GR"/>
        </w:rPr>
        <w:lastRenderedPageBreak/>
        <w:t>συμπλήρωσαν πρόσφατα οι σπουδαστές της Σχολής</w:t>
      </w:r>
      <w:r w:rsidR="00430007">
        <w:rPr>
          <w:lang w:val="el-GR"/>
        </w:rPr>
        <w:t>,</w:t>
      </w:r>
      <w:r w:rsidR="003F0FC5" w:rsidRPr="00B221F4">
        <w:rPr>
          <w:lang w:val="el-GR"/>
        </w:rPr>
        <w:t xml:space="preserve"> δημιουργείται η εύλογη απορία αν και με ποιό τρόπο αυτά τα ερωτηματολόγια ελήφθησαν υπόψη, όπως ισχυρίζεται η «αιτιολογική έκθεση». Στον </w:t>
      </w:r>
      <w:r>
        <w:rPr>
          <w:lang w:val="el-GR"/>
        </w:rPr>
        <w:t>Π</w:t>
      </w:r>
      <w:r w:rsidR="003F0FC5" w:rsidRPr="00B221F4">
        <w:rPr>
          <w:lang w:val="el-GR"/>
        </w:rPr>
        <w:t xml:space="preserve">ίνακα </w:t>
      </w:r>
      <w:r>
        <w:rPr>
          <w:lang w:val="el-GR"/>
        </w:rPr>
        <w:t>3</w:t>
      </w:r>
      <w:r w:rsidR="003F0FC5" w:rsidRPr="00B221F4">
        <w:rPr>
          <w:lang w:val="el-GR"/>
        </w:rPr>
        <w:t xml:space="preserve"> παρουσιάζονται οι απαντήσεις των ερωτηματολογίων για τα 4 μαθήματα </w:t>
      </w:r>
      <w:r>
        <w:rPr>
          <w:lang w:val="el-GR"/>
        </w:rPr>
        <w:t xml:space="preserve">κορμού </w:t>
      </w:r>
      <w:r w:rsidR="003F0FC5" w:rsidRPr="00B221F4">
        <w:rPr>
          <w:lang w:val="el-GR"/>
        </w:rPr>
        <w:t xml:space="preserve">των Τομέων Δομοστατικής και Γεωτεχνικής που </w:t>
      </w:r>
      <w:r>
        <w:rPr>
          <w:lang w:val="el-GR"/>
        </w:rPr>
        <w:t xml:space="preserve">καταργούνται σύμφωνα με την εισήγηση της ΕΠΣ, απ’ όπου προκύπτει ότι τα μαθήματα αυτά θεωρούνται χρήσιμα και απαραίτητα από τη </w:t>
      </w:r>
      <w:r w:rsidR="00161F55">
        <w:rPr>
          <w:lang w:val="el-GR"/>
        </w:rPr>
        <w:t>συντριπτική</w:t>
      </w:r>
      <w:bookmarkStart w:id="0" w:name="_GoBack"/>
      <w:r w:rsidR="00161F55">
        <w:rPr>
          <w:lang w:val="el-GR"/>
        </w:rPr>
        <w:t xml:space="preserve"> </w:t>
      </w:r>
      <w:bookmarkEnd w:id="0"/>
      <w:r>
        <w:rPr>
          <w:lang w:val="el-GR"/>
        </w:rPr>
        <w:t>πλειοψηφία των σπουδαστών</w:t>
      </w:r>
      <w:r w:rsidR="003F0FC5" w:rsidRPr="00B221F4">
        <w:rPr>
          <w:lang w:val="el-GR"/>
        </w:rPr>
        <w:t xml:space="preserve">. </w:t>
      </w:r>
    </w:p>
    <w:p w14:paraId="68FBE623" w14:textId="5A1887E2" w:rsidR="00EF199E" w:rsidRPr="00EF199E" w:rsidRDefault="00EF199E" w:rsidP="00EF199E">
      <w:pPr>
        <w:spacing w:before="240" w:after="60"/>
        <w:ind w:left="360"/>
        <w:jc w:val="center"/>
        <w:rPr>
          <w:rFonts w:cs="Arial"/>
          <w:b/>
          <w:lang w:val="el-GR"/>
        </w:rPr>
      </w:pPr>
      <w:r w:rsidRPr="00EF199E">
        <w:rPr>
          <w:rFonts w:cs="Arial"/>
          <w:b/>
          <w:lang w:val="el-GR"/>
        </w:rPr>
        <w:t xml:space="preserve">Πίνακας </w:t>
      </w:r>
      <w:r>
        <w:rPr>
          <w:rFonts w:cs="Arial"/>
          <w:b/>
          <w:lang w:val="el-GR"/>
        </w:rPr>
        <w:t>3: Γνώμη σπουδαστών για καταργούμενα μαθήματα</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3"/>
        <w:gridCol w:w="1743"/>
        <w:gridCol w:w="1743"/>
        <w:gridCol w:w="1743"/>
        <w:gridCol w:w="1743"/>
      </w:tblGrid>
      <w:tr w:rsidR="003A52B3" w:rsidRPr="00B221F4" w14:paraId="45169BA0" w14:textId="77777777" w:rsidTr="00EF199E">
        <w:tc>
          <w:tcPr>
            <w:tcW w:w="2324" w:type="dxa"/>
            <w:shd w:val="clear" w:color="auto" w:fill="D9D9D9" w:themeFill="background1" w:themeFillShade="D9"/>
            <w:vAlign w:val="center"/>
          </w:tcPr>
          <w:p w14:paraId="3ACCF219" w14:textId="7E22B203" w:rsidR="003F0FC5" w:rsidRPr="00B221F4" w:rsidRDefault="00EF199E" w:rsidP="00EF199E">
            <w:pPr>
              <w:spacing w:before="60" w:after="60" w:line="240" w:lineRule="auto"/>
              <w:jc w:val="center"/>
              <w:rPr>
                <w:lang w:val="el-GR"/>
              </w:rPr>
            </w:pPr>
            <w:r>
              <w:rPr>
                <w:lang w:val="el-GR"/>
              </w:rPr>
              <w:t>Ερώτηση</w:t>
            </w:r>
          </w:p>
        </w:tc>
        <w:tc>
          <w:tcPr>
            <w:tcW w:w="1701" w:type="dxa"/>
            <w:shd w:val="clear" w:color="auto" w:fill="D9D9D9" w:themeFill="background1" w:themeFillShade="D9"/>
            <w:vAlign w:val="center"/>
          </w:tcPr>
          <w:p w14:paraId="6370822C" w14:textId="77777777" w:rsidR="003F0FC5" w:rsidRPr="00B221F4" w:rsidRDefault="003F0FC5" w:rsidP="00EF199E">
            <w:pPr>
              <w:spacing w:before="60" w:after="60" w:line="240" w:lineRule="auto"/>
              <w:jc w:val="center"/>
            </w:pPr>
            <w:r w:rsidRPr="00B221F4">
              <w:t>Εδαφομηχανική ΙΙ</w:t>
            </w:r>
          </w:p>
        </w:tc>
        <w:tc>
          <w:tcPr>
            <w:tcW w:w="1701" w:type="dxa"/>
            <w:shd w:val="clear" w:color="auto" w:fill="D9D9D9" w:themeFill="background1" w:themeFillShade="D9"/>
            <w:vAlign w:val="center"/>
          </w:tcPr>
          <w:p w14:paraId="6E3EAAB2" w14:textId="77777777" w:rsidR="003F0FC5" w:rsidRPr="00B221F4" w:rsidRDefault="003F0FC5" w:rsidP="00EF199E">
            <w:pPr>
              <w:spacing w:before="60" w:after="60" w:line="240" w:lineRule="auto"/>
              <w:jc w:val="center"/>
            </w:pPr>
            <w:proofErr w:type="spellStart"/>
            <w:r w:rsidRPr="00B221F4">
              <w:t>Εισ</w:t>
            </w:r>
            <w:proofErr w:type="spellEnd"/>
            <w:r w:rsidRPr="00B221F4">
              <w:t xml:space="preserve">αγωγή </w:t>
            </w:r>
            <w:proofErr w:type="spellStart"/>
            <w:r w:rsidRPr="00B221F4">
              <w:t>στο</w:t>
            </w:r>
            <w:proofErr w:type="spellEnd"/>
            <w:r w:rsidRPr="00B221F4">
              <w:t xml:space="preserve"> </w:t>
            </w:r>
            <w:proofErr w:type="spellStart"/>
            <w:r w:rsidRPr="00B221F4">
              <w:t>Σιδηρο</w:t>
            </w:r>
            <w:proofErr w:type="spellEnd"/>
            <w:r w:rsidRPr="00B221F4">
              <w:t xml:space="preserve">παγές </w:t>
            </w:r>
            <w:proofErr w:type="spellStart"/>
            <w:r w:rsidRPr="00B221F4">
              <w:t>Σκυρόδεμ</w:t>
            </w:r>
            <w:proofErr w:type="spellEnd"/>
            <w:r w:rsidRPr="00B221F4">
              <w:t>α</w:t>
            </w:r>
          </w:p>
        </w:tc>
        <w:tc>
          <w:tcPr>
            <w:tcW w:w="1701" w:type="dxa"/>
            <w:shd w:val="clear" w:color="auto" w:fill="D9D9D9" w:themeFill="background1" w:themeFillShade="D9"/>
            <w:vAlign w:val="center"/>
          </w:tcPr>
          <w:p w14:paraId="75277143" w14:textId="77777777" w:rsidR="003F0FC5" w:rsidRPr="00B221F4" w:rsidRDefault="003F0FC5" w:rsidP="00EF199E">
            <w:pPr>
              <w:spacing w:before="60" w:after="60" w:line="240" w:lineRule="auto"/>
              <w:jc w:val="center"/>
            </w:pPr>
            <w:proofErr w:type="spellStart"/>
            <w:r w:rsidRPr="00B221F4">
              <w:t>Σιδηρές</w:t>
            </w:r>
            <w:proofErr w:type="spellEnd"/>
            <w:r w:rsidRPr="00B221F4">
              <w:t xml:space="preserve"> Κατα</w:t>
            </w:r>
            <w:proofErr w:type="spellStart"/>
            <w:r w:rsidRPr="00B221F4">
              <w:t>σκευές</w:t>
            </w:r>
            <w:proofErr w:type="spellEnd"/>
            <w:r w:rsidRPr="00B221F4">
              <w:t xml:space="preserve"> ΙΙ</w:t>
            </w:r>
          </w:p>
        </w:tc>
        <w:tc>
          <w:tcPr>
            <w:tcW w:w="1701" w:type="dxa"/>
            <w:shd w:val="clear" w:color="auto" w:fill="D9D9D9" w:themeFill="background1" w:themeFillShade="D9"/>
            <w:vAlign w:val="center"/>
          </w:tcPr>
          <w:p w14:paraId="05310843" w14:textId="77777777" w:rsidR="003F0FC5" w:rsidRPr="00B221F4" w:rsidRDefault="003F0FC5" w:rsidP="00EF199E">
            <w:pPr>
              <w:spacing w:before="60" w:after="60" w:line="240" w:lineRule="auto"/>
              <w:jc w:val="center"/>
            </w:pPr>
            <w:proofErr w:type="spellStart"/>
            <w:r w:rsidRPr="00B221F4">
              <w:t>Στ</w:t>
            </w:r>
            <w:proofErr w:type="spellEnd"/>
            <w:r w:rsidRPr="00B221F4">
              <w:t>ατική ΙΙΙ</w:t>
            </w:r>
          </w:p>
        </w:tc>
      </w:tr>
      <w:tr w:rsidR="003A52B3" w:rsidRPr="00B221F4" w14:paraId="2051F4A7" w14:textId="77777777" w:rsidTr="00EF199E">
        <w:tc>
          <w:tcPr>
            <w:tcW w:w="2324" w:type="dxa"/>
            <w:vAlign w:val="center"/>
          </w:tcPr>
          <w:p w14:paraId="0F5D2630" w14:textId="77777777" w:rsidR="003F0FC5" w:rsidRPr="00B221F4" w:rsidRDefault="003F0FC5" w:rsidP="00EF199E">
            <w:pPr>
              <w:spacing w:before="60" w:after="60" w:line="240" w:lineRule="auto"/>
              <w:jc w:val="center"/>
              <w:rPr>
                <w:lang w:val="el-GR"/>
              </w:rPr>
            </w:pPr>
            <w:r w:rsidRPr="00B221F4">
              <w:rPr>
                <w:lang w:val="el-GR"/>
              </w:rPr>
              <w:t>Η εκπαιδευτική διαδικασία γίνεται με ικανοποιητικό τρόπο</w:t>
            </w:r>
          </w:p>
        </w:tc>
        <w:tc>
          <w:tcPr>
            <w:tcW w:w="1701" w:type="dxa"/>
            <w:vAlign w:val="center"/>
          </w:tcPr>
          <w:p w14:paraId="038EC9D8" w14:textId="77777777" w:rsidR="003F0FC5" w:rsidRPr="00B221F4" w:rsidRDefault="003F0FC5" w:rsidP="00EF199E">
            <w:pPr>
              <w:spacing w:before="60" w:after="60" w:line="240" w:lineRule="auto"/>
              <w:jc w:val="center"/>
            </w:pPr>
            <w:r w:rsidRPr="00B221F4">
              <w:t>62.7%</w:t>
            </w:r>
          </w:p>
        </w:tc>
        <w:tc>
          <w:tcPr>
            <w:tcW w:w="1701" w:type="dxa"/>
            <w:vAlign w:val="center"/>
          </w:tcPr>
          <w:p w14:paraId="17E2251C" w14:textId="77777777" w:rsidR="003F0FC5" w:rsidRPr="00B221F4" w:rsidRDefault="003F0FC5" w:rsidP="00EF199E">
            <w:pPr>
              <w:spacing w:before="60" w:after="60" w:line="240" w:lineRule="auto"/>
              <w:jc w:val="center"/>
            </w:pPr>
            <w:r w:rsidRPr="00B221F4">
              <w:t>15.8%</w:t>
            </w:r>
          </w:p>
        </w:tc>
        <w:tc>
          <w:tcPr>
            <w:tcW w:w="1701" w:type="dxa"/>
            <w:vAlign w:val="center"/>
          </w:tcPr>
          <w:p w14:paraId="59B65B24" w14:textId="77777777" w:rsidR="003F0FC5" w:rsidRPr="00B221F4" w:rsidRDefault="003F0FC5" w:rsidP="00EF199E">
            <w:pPr>
              <w:spacing w:before="60" w:after="60" w:line="240" w:lineRule="auto"/>
              <w:jc w:val="center"/>
            </w:pPr>
            <w:r w:rsidRPr="00B221F4">
              <w:t>73.5%</w:t>
            </w:r>
          </w:p>
        </w:tc>
        <w:tc>
          <w:tcPr>
            <w:tcW w:w="1701" w:type="dxa"/>
            <w:vAlign w:val="center"/>
          </w:tcPr>
          <w:p w14:paraId="43D36838" w14:textId="77777777" w:rsidR="003F0FC5" w:rsidRPr="00B221F4" w:rsidRDefault="003F0FC5" w:rsidP="00EF199E">
            <w:pPr>
              <w:spacing w:before="60" w:after="60" w:line="240" w:lineRule="auto"/>
              <w:jc w:val="center"/>
            </w:pPr>
            <w:r w:rsidRPr="00B221F4">
              <w:t>52.1%</w:t>
            </w:r>
          </w:p>
        </w:tc>
      </w:tr>
      <w:tr w:rsidR="003A52B3" w:rsidRPr="00B221F4" w14:paraId="58236E51" w14:textId="77777777" w:rsidTr="00EF199E">
        <w:tc>
          <w:tcPr>
            <w:tcW w:w="2324" w:type="dxa"/>
            <w:vAlign w:val="center"/>
          </w:tcPr>
          <w:p w14:paraId="03236903" w14:textId="77777777" w:rsidR="003F0FC5" w:rsidRPr="00B221F4" w:rsidRDefault="003F0FC5" w:rsidP="00EF199E">
            <w:pPr>
              <w:spacing w:before="60" w:after="60" w:line="240" w:lineRule="auto"/>
              <w:jc w:val="center"/>
            </w:pPr>
            <w:proofErr w:type="spellStart"/>
            <w:r w:rsidRPr="00B221F4">
              <w:t>Είν</w:t>
            </w:r>
            <w:proofErr w:type="spellEnd"/>
            <w:r w:rsidRPr="00B221F4">
              <w:t>αι απαρα</w:t>
            </w:r>
            <w:proofErr w:type="spellStart"/>
            <w:r w:rsidRPr="00B221F4">
              <w:t>ίτητο</w:t>
            </w:r>
            <w:proofErr w:type="spellEnd"/>
            <w:r w:rsidRPr="00B221F4">
              <w:t xml:space="preserve"> </w:t>
            </w:r>
            <w:proofErr w:type="spellStart"/>
            <w:r w:rsidRPr="00B221F4">
              <w:t>μάθημ</w:t>
            </w:r>
            <w:proofErr w:type="spellEnd"/>
            <w:r w:rsidRPr="00B221F4">
              <w:t>α</w:t>
            </w:r>
          </w:p>
        </w:tc>
        <w:tc>
          <w:tcPr>
            <w:tcW w:w="1701" w:type="dxa"/>
            <w:vAlign w:val="center"/>
          </w:tcPr>
          <w:p w14:paraId="0080505D" w14:textId="77777777" w:rsidR="003F0FC5" w:rsidRPr="00B221F4" w:rsidRDefault="003F0FC5" w:rsidP="00EF199E">
            <w:pPr>
              <w:spacing w:before="60" w:after="60" w:line="240" w:lineRule="auto"/>
              <w:jc w:val="center"/>
            </w:pPr>
            <w:r w:rsidRPr="00B221F4">
              <w:t>86.7%</w:t>
            </w:r>
          </w:p>
        </w:tc>
        <w:tc>
          <w:tcPr>
            <w:tcW w:w="1701" w:type="dxa"/>
            <w:vAlign w:val="center"/>
          </w:tcPr>
          <w:p w14:paraId="5597C312" w14:textId="77777777" w:rsidR="003F0FC5" w:rsidRPr="00B221F4" w:rsidRDefault="003F0FC5" w:rsidP="00EF199E">
            <w:pPr>
              <w:spacing w:before="60" w:after="60" w:line="240" w:lineRule="auto"/>
              <w:jc w:val="center"/>
            </w:pPr>
            <w:r w:rsidRPr="00B221F4">
              <w:t>64.5%</w:t>
            </w:r>
          </w:p>
        </w:tc>
        <w:tc>
          <w:tcPr>
            <w:tcW w:w="1701" w:type="dxa"/>
            <w:vAlign w:val="center"/>
          </w:tcPr>
          <w:p w14:paraId="3A237EB9" w14:textId="77777777" w:rsidR="003F0FC5" w:rsidRPr="00B221F4" w:rsidRDefault="003F0FC5" w:rsidP="00EF199E">
            <w:pPr>
              <w:spacing w:before="60" w:after="60" w:line="240" w:lineRule="auto"/>
              <w:jc w:val="center"/>
            </w:pPr>
            <w:r w:rsidRPr="00B221F4">
              <w:t>93.9%</w:t>
            </w:r>
          </w:p>
        </w:tc>
        <w:tc>
          <w:tcPr>
            <w:tcW w:w="1701" w:type="dxa"/>
            <w:vAlign w:val="center"/>
          </w:tcPr>
          <w:p w14:paraId="7EC1493C" w14:textId="77777777" w:rsidR="003F0FC5" w:rsidRPr="00B221F4" w:rsidRDefault="003F0FC5" w:rsidP="00EF199E">
            <w:pPr>
              <w:spacing w:before="60" w:after="60" w:line="240" w:lineRule="auto"/>
              <w:jc w:val="center"/>
            </w:pPr>
            <w:r w:rsidRPr="00B221F4">
              <w:t>77.5%</w:t>
            </w:r>
          </w:p>
        </w:tc>
      </w:tr>
      <w:tr w:rsidR="003A52B3" w:rsidRPr="00B221F4" w14:paraId="46C1EB86" w14:textId="77777777" w:rsidTr="00EF199E">
        <w:tc>
          <w:tcPr>
            <w:tcW w:w="2324" w:type="dxa"/>
            <w:vAlign w:val="center"/>
          </w:tcPr>
          <w:p w14:paraId="624C0C70" w14:textId="77777777" w:rsidR="003F0FC5" w:rsidRPr="00B221F4" w:rsidRDefault="003F0FC5" w:rsidP="00DF7A36">
            <w:pPr>
              <w:spacing w:before="60" w:after="60" w:line="240" w:lineRule="auto"/>
              <w:ind w:left="-83"/>
              <w:jc w:val="center"/>
              <w:rPr>
                <w:lang w:val="el-GR"/>
              </w:rPr>
            </w:pPr>
            <w:r w:rsidRPr="00B221F4">
              <w:rPr>
                <w:lang w:val="el-GR"/>
              </w:rPr>
              <w:t>Η γνώση που προσφέρει δεν είναι χρήσιμη στον πολιτικό μηχανικό</w:t>
            </w:r>
          </w:p>
        </w:tc>
        <w:tc>
          <w:tcPr>
            <w:tcW w:w="1701" w:type="dxa"/>
            <w:vAlign w:val="center"/>
          </w:tcPr>
          <w:p w14:paraId="1A861DED" w14:textId="77777777" w:rsidR="003F0FC5" w:rsidRPr="00B221F4" w:rsidRDefault="003F0FC5" w:rsidP="00EF199E">
            <w:pPr>
              <w:spacing w:before="60" w:after="60" w:line="240" w:lineRule="auto"/>
              <w:jc w:val="center"/>
            </w:pPr>
            <w:r w:rsidRPr="00B221F4">
              <w:t>1.3%</w:t>
            </w:r>
          </w:p>
        </w:tc>
        <w:tc>
          <w:tcPr>
            <w:tcW w:w="1701" w:type="dxa"/>
            <w:vAlign w:val="center"/>
          </w:tcPr>
          <w:p w14:paraId="2636BC87" w14:textId="77777777" w:rsidR="003F0FC5" w:rsidRPr="00B221F4" w:rsidRDefault="003F0FC5" w:rsidP="00EF199E">
            <w:pPr>
              <w:spacing w:before="60" w:after="60" w:line="240" w:lineRule="auto"/>
              <w:jc w:val="center"/>
            </w:pPr>
            <w:r w:rsidRPr="00B221F4">
              <w:t>1.3%</w:t>
            </w:r>
          </w:p>
        </w:tc>
        <w:tc>
          <w:tcPr>
            <w:tcW w:w="1701" w:type="dxa"/>
            <w:vAlign w:val="center"/>
          </w:tcPr>
          <w:p w14:paraId="1CEB600F" w14:textId="77777777" w:rsidR="003F0FC5" w:rsidRPr="00B221F4" w:rsidRDefault="003F0FC5" w:rsidP="00EF199E">
            <w:pPr>
              <w:spacing w:before="60" w:after="60" w:line="240" w:lineRule="auto"/>
              <w:jc w:val="center"/>
            </w:pPr>
            <w:r w:rsidRPr="00B221F4">
              <w:t>0%</w:t>
            </w:r>
          </w:p>
        </w:tc>
        <w:tc>
          <w:tcPr>
            <w:tcW w:w="1701" w:type="dxa"/>
            <w:vAlign w:val="center"/>
          </w:tcPr>
          <w:p w14:paraId="0CD0F133" w14:textId="77777777" w:rsidR="003F0FC5" w:rsidRPr="00B221F4" w:rsidRDefault="003F0FC5" w:rsidP="00EF199E">
            <w:pPr>
              <w:spacing w:before="60" w:after="60" w:line="240" w:lineRule="auto"/>
              <w:jc w:val="center"/>
            </w:pPr>
            <w:r w:rsidRPr="00B221F4">
              <w:t>1.4%</w:t>
            </w:r>
          </w:p>
        </w:tc>
      </w:tr>
      <w:tr w:rsidR="003A52B3" w:rsidRPr="00B221F4" w14:paraId="295709CD" w14:textId="77777777" w:rsidTr="00EF199E">
        <w:tc>
          <w:tcPr>
            <w:tcW w:w="2324" w:type="dxa"/>
            <w:vAlign w:val="center"/>
          </w:tcPr>
          <w:p w14:paraId="18753DC9" w14:textId="77777777" w:rsidR="003F0FC5" w:rsidRPr="00B221F4" w:rsidRDefault="003F0FC5" w:rsidP="00EF199E">
            <w:pPr>
              <w:spacing w:before="60" w:after="60" w:line="240" w:lineRule="auto"/>
              <w:jc w:val="center"/>
              <w:rPr>
                <w:lang w:val="el-GR"/>
              </w:rPr>
            </w:pPr>
            <w:r w:rsidRPr="00B221F4">
              <w:rPr>
                <w:lang w:val="el-GR"/>
              </w:rPr>
              <w:t>Να αλλάξει κατηγορία από υποχρεωτικό σε επιλογής</w:t>
            </w:r>
          </w:p>
        </w:tc>
        <w:tc>
          <w:tcPr>
            <w:tcW w:w="1701" w:type="dxa"/>
            <w:vAlign w:val="center"/>
          </w:tcPr>
          <w:p w14:paraId="64D01425" w14:textId="77777777" w:rsidR="003F0FC5" w:rsidRPr="00B221F4" w:rsidRDefault="003F0FC5" w:rsidP="00EF199E">
            <w:pPr>
              <w:spacing w:before="60" w:after="60" w:line="240" w:lineRule="auto"/>
              <w:jc w:val="center"/>
            </w:pPr>
            <w:r w:rsidRPr="00B221F4">
              <w:t>1.3%</w:t>
            </w:r>
          </w:p>
        </w:tc>
        <w:tc>
          <w:tcPr>
            <w:tcW w:w="1701" w:type="dxa"/>
            <w:vAlign w:val="center"/>
          </w:tcPr>
          <w:p w14:paraId="1DA1BE43" w14:textId="77777777" w:rsidR="003F0FC5" w:rsidRPr="00B221F4" w:rsidRDefault="003F0FC5" w:rsidP="00EF199E">
            <w:pPr>
              <w:spacing w:before="60" w:after="60" w:line="240" w:lineRule="auto"/>
              <w:jc w:val="center"/>
            </w:pPr>
            <w:r w:rsidRPr="00B221F4">
              <w:t>2.6%</w:t>
            </w:r>
          </w:p>
        </w:tc>
        <w:tc>
          <w:tcPr>
            <w:tcW w:w="1701" w:type="dxa"/>
            <w:vAlign w:val="center"/>
          </w:tcPr>
          <w:p w14:paraId="45786FCA" w14:textId="074052E3" w:rsidR="003F0FC5" w:rsidRPr="00B221F4" w:rsidRDefault="003F0FC5" w:rsidP="00EF199E">
            <w:pPr>
              <w:spacing w:before="60" w:after="60" w:line="240" w:lineRule="auto"/>
              <w:jc w:val="center"/>
            </w:pPr>
            <w:r w:rsidRPr="00B221F4">
              <w:t>0%</w:t>
            </w:r>
          </w:p>
        </w:tc>
        <w:tc>
          <w:tcPr>
            <w:tcW w:w="1701" w:type="dxa"/>
            <w:vAlign w:val="center"/>
          </w:tcPr>
          <w:p w14:paraId="386582C8" w14:textId="77777777" w:rsidR="003F0FC5" w:rsidRPr="00B221F4" w:rsidRDefault="003F0FC5" w:rsidP="00EF199E">
            <w:pPr>
              <w:spacing w:before="60" w:after="60" w:line="240" w:lineRule="auto"/>
              <w:jc w:val="center"/>
            </w:pPr>
            <w:r w:rsidRPr="00B221F4">
              <w:t>11.3%</w:t>
            </w:r>
          </w:p>
        </w:tc>
      </w:tr>
      <w:tr w:rsidR="003A52B3" w:rsidRPr="00B221F4" w14:paraId="528D4AF5" w14:textId="77777777" w:rsidTr="00EF199E">
        <w:tc>
          <w:tcPr>
            <w:tcW w:w="2324" w:type="dxa"/>
            <w:vAlign w:val="center"/>
          </w:tcPr>
          <w:p w14:paraId="0B1FBA78" w14:textId="77777777" w:rsidR="003F0FC5" w:rsidRPr="00B221F4" w:rsidRDefault="003F0FC5" w:rsidP="00EF199E">
            <w:pPr>
              <w:spacing w:before="60" w:after="60" w:line="240" w:lineRule="auto"/>
              <w:jc w:val="center"/>
              <w:rPr>
                <w:lang w:val="el-GR"/>
              </w:rPr>
            </w:pPr>
            <w:r w:rsidRPr="00B221F4">
              <w:rPr>
                <w:lang w:val="el-GR"/>
              </w:rPr>
              <w:t>Να συγχωνευθεί ή να καταργηθεί</w:t>
            </w:r>
          </w:p>
        </w:tc>
        <w:tc>
          <w:tcPr>
            <w:tcW w:w="1701" w:type="dxa"/>
            <w:vAlign w:val="center"/>
          </w:tcPr>
          <w:p w14:paraId="5B413B86" w14:textId="77777777" w:rsidR="003F0FC5" w:rsidRPr="00B221F4" w:rsidRDefault="003F0FC5" w:rsidP="00EF199E">
            <w:pPr>
              <w:spacing w:before="60" w:after="60" w:line="240" w:lineRule="auto"/>
              <w:jc w:val="center"/>
            </w:pPr>
            <w:r w:rsidRPr="00B221F4">
              <w:t>5.3%</w:t>
            </w:r>
          </w:p>
        </w:tc>
        <w:tc>
          <w:tcPr>
            <w:tcW w:w="1701" w:type="dxa"/>
            <w:vAlign w:val="center"/>
          </w:tcPr>
          <w:p w14:paraId="70956AC7" w14:textId="77777777" w:rsidR="003F0FC5" w:rsidRPr="00B221F4" w:rsidRDefault="003F0FC5" w:rsidP="00EF199E">
            <w:pPr>
              <w:spacing w:before="60" w:after="60" w:line="240" w:lineRule="auto"/>
              <w:jc w:val="center"/>
            </w:pPr>
            <w:r w:rsidRPr="00B221F4">
              <w:t>31.6%</w:t>
            </w:r>
          </w:p>
        </w:tc>
        <w:tc>
          <w:tcPr>
            <w:tcW w:w="1701" w:type="dxa"/>
            <w:vAlign w:val="center"/>
          </w:tcPr>
          <w:p w14:paraId="2F2E5219" w14:textId="77777777" w:rsidR="003F0FC5" w:rsidRPr="00B221F4" w:rsidRDefault="003F0FC5" w:rsidP="00EF199E">
            <w:pPr>
              <w:spacing w:before="60" w:after="60" w:line="240" w:lineRule="auto"/>
              <w:jc w:val="center"/>
            </w:pPr>
            <w:r w:rsidRPr="00B221F4">
              <w:t>4.1%</w:t>
            </w:r>
          </w:p>
        </w:tc>
        <w:tc>
          <w:tcPr>
            <w:tcW w:w="1701" w:type="dxa"/>
            <w:vAlign w:val="center"/>
          </w:tcPr>
          <w:p w14:paraId="1F106206" w14:textId="77777777" w:rsidR="003F0FC5" w:rsidRPr="00B221F4" w:rsidRDefault="003F0FC5" w:rsidP="00EF199E">
            <w:pPr>
              <w:spacing w:before="60" w:after="60" w:line="240" w:lineRule="auto"/>
              <w:jc w:val="center"/>
            </w:pPr>
            <w:r w:rsidRPr="00B221F4">
              <w:t>5.6%</w:t>
            </w:r>
          </w:p>
        </w:tc>
      </w:tr>
      <w:tr w:rsidR="00B221F4" w:rsidRPr="00B221F4" w14:paraId="321303C4" w14:textId="77777777" w:rsidTr="00EF199E">
        <w:tc>
          <w:tcPr>
            <w:tcW w:w="2324" w:type="dxa"/>
            <w:vAlign w:val="center"/>
          </w:tcPr>
          <w:p w14:paraId="11817D7C" w14:textId="77777777" w:rsidR="003F0FC5" w:rsidRPr="00B221F4" w:rsidRDefault="003F0FC5" w:rsidP="00DF7A36">
            <w:pPr>
              <w:spacing w:before="60" w:after="60" w:line="240" w:lineRule="auto"/>
              <w:ind w:left="-83"/>
              <w:jc w:val="center"/>
              <w:rPr>
                <w:lang w:val="el-GR"/>
              </w:rPr>
            </w:pPr>
            <w:r w:rsidRPr="00B221F4">
              <w:rPr>
                <w:lang w:val="el-GR"/>
              </w:rPr>
              <w:t>Υπάρχει αλληλοεπικάλυψη της ύλης με άλλα μαθήματα</w:t>
            </w:r>
          </w:p>
        </w:tc>
        <w:tc>
          <w:tcPr>
            <w:tcW w:w="1701" w:type="dxa"/>
            <w:vAlign w:val="center"/>
          </w:tcPr>
          <w:p w14:paraId="2FB7C7C7" w14:textId="77777777" w:rsidR="003F0FC5" w:rsidRPr="00B221F4" w:rsidRDefault="003F0FC5" w:rsidP="00EF199E">
            <w:pPr>
              <w:spacing w:before="60" w:after="60" w:line="240" w:lineRule="auto"/>
              <w:jc w:val="center"/>
            </w:pPr>
            <w:r w:rsidRPr="00B221F4">
              <w:t>9.3%</w:t>
            </w:r>
          </w:p>
        </w:tc>
        <w:tc>
          <w:tcPr>
            <w:tcW w:w="1701" w:type="dxa"/>
            <w:vAlign w:val="center"/>
          </w:tcPr>
          <w:p w14:paraId="3877ECF1" w14:textId="77777777" w:rsidR="003F0FC5" w:rsidRPr="00B221F4" w:rsidRDefault="003F0FC5" w:rsidP="00EF199E">
            <w:pPr>
              <w:spacing w:before="60" w:after="60" w:line="240" w:lineRule="auto"/>
              <w:jc w:val="center"/>
            </w:pPr>
            <w:r w:rsidRPr="00B221F4">
              <w:t>43.4%</w:t>
            </w:r>
          </w:p>
        </w:tc>
        <w:tc>
          <w:tcPr>
            <w:tcW w:w="1701" w:type="dxa"/>
            <w:vAlign w:val="center"/>
          </w:tcPr>
          <w:p w14:paraId="6BC9B69C" w14:textId="77777777" w:rsidR="003F0FC5" w:rsidRPr="00B221F4" w:rsidRDefault="003F0FC5" w:rsidP="00EF199E">
            <w:pPr>
              <w:spacing w:before="60" w:after="60" w:line="240" w:lineRule="auto"/>
              <w:jc w:val="center"/>
            </w:pPr>
            <w:r w:rsidRPr="00B221F4">
              <w:t>6.1%</w:t>
            </w:r>
          </w:p>
        </w:tc>
        <w:tc>
          <w:tcPr>
            <w:tcW w:w="1701" w:type="dxa"/>
            <w:vAlign w:val="center"/>
          </w:tcPr>
          <w:p w14:paraId="346F6F71" w14:textId="77777777" w:rsidR="003F0FC5" w:rsidRPr="00B221F4" w:rsidRDefault="003F0FC5" w:rsidP="00EF199E">
            <w:pPr>
              <w:spacing w:before="60" w:after="60" w:line="240" w:lineRule="auto"/>
              <w:jc w:val="center"/>
            </w:pPr>
            <w:r w:rsidRPr="00B221F4">
              <w:t>5.6%</w:t>
            </w:r>
          </w:p>
        </w:tc>
      </w:tr>
    </w:tbl>
    <w:p w14:paraId="217C0431" w14:textId="65703D1E" w:rsidR="005B78BD" w:rsidRPr="00B221F4" w:rsidRDefault="005B78BD" w:rsidP="003F0FC5">
      <w:pPr>
        <w:pStyle w:val="ListParagraph"/>
        <w:spacing w:after="120"/>
        <w:jc w:val="both"/>
        <w:rPr>
          <w:rFonts w:cs="Arial"/>
          <w:lang w:val="el-GR"/>
        </w:rPr>
      </w:pPr>
    </w:p>
    <w:p w14:paraId="03852078" w14:textId="47BDACE6" w:rsidR="00BE3904" w:rsidRDefault="00BE3904" w:rsidP="007D0794">
      <w:pPr>
        <w:pStyle w:val="ListParagraph"/>
        <w:numPr>
          <w:ilvl w:val="0"/>
          <w:numId w:val="3"/>
        </w:numPr>
        <w:spacing w:before="120" w:after="0"/>
        <w:ind w:left="426" w:hanging="426"/>
        <w:contextualSpacing w:val="0"/>
        <w:jc w:val="both"/>
        <w:rPr>
          <w:rFonts w:cs="Arial"/>
          <w:lang w:val="el-GR"/>
        </w:rPr>
      </w:pPr>
      <w:r w:rsidRPr="00B221F4">
        <w:rPr>
          <w:lang w:val="el-GR"/>
        </w:rPr>
        <w:t xml:space="preserve">Μαθήματα με 6 ώρες </w:t>
      </w:r>
      <w:r w:rsidR="00430007">
        <w:rPr>
          <w:lang w:val="el-GR"/>
        </w:rPr>
        <w:t xml:space="preserve">διδασκαλίας </w:t>
      </w:r>
      <w:r w:rsidRPr="00B221F4">
        <w:rPr>
          <w:lang w:val="el-GR"/>
        </w:rPr>
        <w:t xml:space="preserve">δεν είναι αποδεκτά </w:t>
      </w:r>
      <w:r w:rsidR="00430007">
        <w:rPr>
          <w:rFonts w:cs="Arial"/>
          <w:lang w:val="el-GR"/>
        </w:rPr>
        <w:t>ούτε</w:t>
      </w:r>
      <w:r w:rsidRPr="00B221F4">
        <w:rPr>
          <w:rFonts w:cs="Arial"/>
          <w:lang w:val="el-GR"/>
        </w:rPr>
        <w:t xml:space="preserve"> από διδακτικής πλευράς </w:t>
      </w:r>
      <w:r w:rsidR="00430007">
        <w:rPr>
          <w:rFonts w:cs="Arial"/>
          <w:lang w:val="el-GR"/>
        </w:rPr>
        <w:t>ούτε</w:t>
      </w:r>
      <w:r w:rsidRPr="00B221F4">
        <w:rPr>
          <w:rFonts w:cs="Arial"/>
          <w:lang w:val="el-GR"/>
        </w:rPr>
        <w:t xml:space="preserve"> και ως προς την επιθυμητή αντιστοίχιση με τις ECTS. </w:t>
      </w:r>
      <w:r w:rsidR="00161F55">
        <w:rPr>
          <w:rFonts w:cs="Arial"/>
          <w:lang w:val="el-GR"/>
        </w:rPr>
        <w:t>Η σχετική εισήγηση α</w:t>
      </w:r>
      <w:r w:rsidR="00161F55" w:rsidRPr="00B221F4">
        <w:rPr>
          <w:rFonts w:cs="Arial"/>
          <w:lang w:val="el-GR"/>
        </w:rPr>
        <w:t xml:space="preserve">ποτελεί </w:t>
      </w:r>
      <w:r w:rsidRPr="00B221F4">
        <w:rPr>
          <w:rFonts w:cs="Arial"/>
          <w:lang w:val="el-GR"/>
        </w:rPr>
        <w:t>ένα τέχνασμα προκειμένου να μειωθεί ο αριθμός των μαθημάτων.</w:t>
      </w:r>
    </w:p>
    <w:p w14:paraId="74FDB1A7" w14:textId="3F1E83E6" w:rsidR="003A52F5" w:rsidRPr="00D76F43" w:rsidRDefault="00A476D9" w:rsidP="007D0794">
      <w:pPr>
        <w:pStyle w:val="ListParagraph"/>
        <w:numPr>
          <w:ilvl w:val="0"/>
          <w:numId w:val="3"/>
        </w:numPr>
        <w:spacing w:before="120" w:after="0"/>
        <w:ind w:left="426" w:hanging="426"/>
        <w:contextualSpacing w:val="0"/>
        <w:jc w:val="both"/>
        <w:rPr>
          <w:rFonts w:cs="Arial"/>
          <w:b/>
          <w:lang w:val="el-GR"/>
        </w:rPr>
      </w:pPr>
      <w:r w:rsidRPr="00D76F43">
        <w:rPr>
          <w:b/>
          <w:lang w:val="el-GR"/>
        </w:rPr>
        <w:t>Συμπερασματικά, κατά την άποψη του Τομέα Δομοστατικής, το προτεινόμενο Πρόγραμμα Σπουδών υπό την παρούσα μορφή του θα οδηγήσει σε</w:t>
      </w:r>
      <w:r w:rsidR="003A52F5" w:rsidRPr="00D76F43">
        <w:rPr>
          <w:b/>
          <w:lang w:val="el-GR"/>
        </w:rPr>
        <w:t xml:space="preserve"> υποβ</w:t>
      </w:r>
      <w:r w:rsidRPr="00D76F43">
        <w:rPr>
          <w:b/>
          <w:lang w:val="el-GR"/>
        </w:rPr>
        <w:t>ά</w:t>
      </w:r>
      <w:r w:rsidR="003A52F5" w:rsidRPr="00D76F43">
        <w:rPr>
          <w:b/>
          <w:lang w:val="el-GR"/>
        </w:rPr>
        <w:t>θμ</w:t>
      </w:r>
      <w:r w:rsidRPr="00D76F43">
        <w:rPr>
          <w:b/>
          <w:lang w:val="el-GR"/>
        </w:rPr>
        <w:t>ιση</w:t>
      </w:r>
      <w:r w:rsidR="003A52F5" w:rsidRPr="00D76F43">
        <w:rPr>
          <w:b/>
          <w:lang w:val="el-GR"/>
        </w:rPr>
        <w:t xml:space="preserve"> τ</w:t>
      </w:r>
      <w:r w:rsidRPr="00D76F43">
        <w:rPr>
          <w:b/>
          <w:lang w:val="el-GR"/>
        </w:rPr>
        <w:t>ων</w:t>
      </w:r>
      <w:r w:rsidR="003A52F5" w:rsidRPr="00D76F43">
        <w:rPr>
          <w:b/>
          <w:lang w:val="el-GR"/>
        </w:rPr>
        <w:t xml:space="preserve"> παρεχόμεν</w:t>
      </w:r>
      <w:r w:rsidRPr="00D76F43">
        <w:rPr>
          <w:b/>
          <w:lang w:val="el-GR"/>
        </w:rPr>
        <w:t>ων</w:t>
      </w:r>
      <w:r w:rsidR="003A52F5" w:rsidRPr="00D76F43">
        <w:rPr>
          <w:b/>
          <w:lang w:val="el-GR"/>
        </w:rPr>
        <w:t xml:space="preserve"> γνώσε</w:t>
      </w:r>
      <w:r w:rsidRPr="00D76F43">
        <w:rPr>
          <w:b/>
          <w:lang w:val="el-GR"/>
        </w:rPr>
        <w:t>ων</w:t>
      </w:r>
      <w:r w:rsidR="003A52F5" w:rsidRPr="00D76F43">
        <w:rPr>
          <w:b/>
          <w:lang w:val="el-GR"/>
        </w:rPr>
        <w:t xml:space="preserve"> προς όλους τους αποφοίτους της Σχολής και ιδιαίτερα, σε ανεπίτρεπτο βαθμό, προς τους αποφοίτους δομοστατικής κατεύθυνσης.</w:t>
      </w:r>
    </w:p>
    <w:p w14:paraId="1346DE6B" w14:textId="4CD40031" w:rsidR="007D0794" w:rsidRPr="00B221F4" w:rsidRDefault="007D0794" w:rsidP="007D0794">
      <w:pPr>
        <w:spacing w:before="120" w:after="0"/>
        <w:rPr>
          <w:rFonts w:cs="Arial"/>
          <w:lang w:val="el-GR"/>
        </w:rPr>
      </w:pPr>
    </w:p>
    <w:p w14:paraId="441886A4" w14:textId="77777777" w:rsidR="00EB701E" w:rsidRPr="00B221F4" w:rsidRDefault="00972CF9" w:rsidP="002E3E63">
      <w:pPr>
        <w:spacing w:after="0"/>
        <w:rPr>
          <w:rFonts w:cs="Arial"/>
          <w:b/>
          <w:lang w:val="el-GR"/>
        </w:rPr>
      </w:pPr>
      <w:r w:rsidRPr="00B221F4">
        <w:rPr>
          <w:rFonts w:cs="Arial"/>
          <w:b/>
          <w:lang w:val="el-GR"/>
        </w:rPr>
        <w:t>Ειδικά Σχόλια</w:t>
      </w:r>
    </w:p>
    <w:p w14:paraId="7BF22574" w14:textId="26EAB0EA" w:rsidR="005B2730" w:rsidRPr="00B221F4" w:rsidRDefault="008A78FD" w:rsidP="00430007">
      <w:pPr>
        <w:spacing w:before="120" w:after="0"/>
        <w:jc w:val="both"/>
        <w:rPr>
          <w:rFonts w:cs="Arial"/>
          <w:lang w:val="el-GR"/>
        </w:rPr>
      </w:pPr>
      <w:r>
        <w:rPr>
          <w:rFonts w:cs="Arial"/>
          <w:lang w:val="el-GR"/>
        </w:rPr>
        <w:t xml:space="preserve">Επισημαίνεται ότι, στην παρούσα φάση, δεν γίνεται ενδελεχής επισήμανση των προβλημάτων των μαθημάτων, όπως αυτά εμφανίζονται στα Σχέδια 1 και 2, αφού, όπως προαναφέρθηκε, ο Τομέας Δομοστατικής απορρίπτει τις προτεινόμενες </w:t>
      </w:r>
      <w:r w:rsidRPr="00B221F4">
        <w:rPr>
          <w:rFonts w:cs="Arial"/>
          <w:lang w:val="el-GR"/>
        </w:rPr>
        <w:t>περικοπ</w:t>
      </w:r>
      <w:r>
        <w:rPr>
          <w:rFonts w:cs="Arial"/>
          <w:lang w:val="el-GR"/>
        </w:rPr>
        <w:t xml:space="preserve">ές </w:t>
      </w:r>
      <w:r w:rsidRPr="00B221F4">
        <w:rPr>
          <w:rFonts w:cs="Arial"/>
          <w:lang w:val="el-GR"/>
        </w:rPr>
        <w:t>/</w:t>
      </w:r>
      <w:r>
        <w:rPr>
          <w:rFonts w:cs="Arial"/>
          <w:lang w:val="el-GR"/>
        </w:rPr>
        <w:t xml:space="preserve"> </w:t>
      </w:r>
      <w:r w:rsidRPr="00B221F4">
        <w:rPr>
          <w:rFonts w:cs="Arial"/>
          <w:lang w:val="el-GR"/>
        </w:rPr>
        <w:t>συγχ</w:t>
      </w:r>
      <w:r>
        <w:rPr>
          <w:rFonts w:cs="Arial"/>
          <w:lang w:val="el-GR"/>
        </w:rPr>
        <w:t>ωνεύσεις</w:t>
      </w:r>
      <w:r w:rsidRPr="00B221F4">
        <w:rPr>
          <w:rFonts w:cs="Arial"/>
          <w:lang w:val="el-GR"/>
        </w:rPr>
        <w:t xml:space="preserve"> μαθημάτων</w:t>
      </w:r>
      <w:r>
        <w:rPr>
          <w:rFonts w:cs="Arial"/>
          <w:lang w:val="el-GR"/>
        </w:rPr>
        <w:t>, οι οποίες</w:t>
      </w:r>
      <w:r w:rsidRPr="00B221F4">
        <w:rPr>
          <w:rFonts w:cs="Arial"/>
          <w:lang w:val="el-GR"/>
        </w:rPr>
        <w:t xml:space="preserve"> </w:t>
      </w:r>
      <w:r>
        <w:rPr>
          <w:rFonts w:cs="Arial"/>
          <w:lang w:val="el-GR"/>
        </w:rPr>
        <w:t xml:space="preserve">πρέπει να </w:t>
      </w:r>
      <w:r w:rsidR="00161F55">
        <w:rPr>
          <w:rFonts w:cs="Arial"/>
          <w:lang w:val="el-GR"/>
        </w:rPr>
        <w:t xml:space="preserve">αποφασιστούν </w:t>
      </w:r>
      <w:r>
        <w:rPr>
          <w:rFonts w:cs="Arial"/>
          <w:lang w:val="el-GR"/>
        </w:rPr>
        <w:t>μετά από εμπερι</w:t>
      </w:r>
      <w:r w:rsidRPr="00B221F4">
        <w:rPr>
          <w:rFonts w:cs="Arial"/>
          <w:lang w:val="el-GR"/>
        </w:rPr>
        <w:t xml:space="preserve">στατωμένη εισήγηση του οικείου </w:t>
      </w:r>
      <w:r>
        <w:rPr>
          <w:rFonts w:cs="Arial"/>
          <w:lang w:val="el-GR"/>
        </w:rPr>
        <w:t>Τ</w:t>
      </w:r>
      <w:r w:rsidRPr="00B221F4">
        <w:rPr>
          <w:rFonts w:cs="Arial"/>
          <w:lang w:val="el-GR"/>
        </w:rPr>
        <w:t>ομέ</w:t>
      </w:r>
      <w:r>
        <w:rPr>
          <w:rFonts w:cs="Arial"/>
          <w:lang w:val="el-GR"/>
        </w:rPr>
        <w:t>α. Ενδεικτικά</w:t>
      </w:r>
      <w:r w:rsidR="00466972">
        <w:rPr>
          <w:rFonts w:cs="Arial"/>
          <w:lang w:val="el-GR"/>
        </w:rPr>
        <w:t xml:space="preserve"> όμως</w:t>
      </w:r>
      <w:r>
        <w:rPr>
          <w:rFonts w:cs="Arial"/>
          <w:lang w:val="el-GR"/>
        </w:rPr>
        <w:t xml:space="preserve">, </w:t>
      </w:r>
      <w:r w:rsidRPr="00B221F4">
        <w:rPr>
          <w:rFonts w:cs="Arial"/>
          <w:lang w:val="el-GR"/>
        </w:rPr>
        <w:t xml:space="preserve">αναφέρονται </w:t>
      </w:r>
      <w:r w:rsidR="00466972">
        <w:rPr>
          <w:rFonts w:cs="Arial"/>
          <w:lang w:val="el-GR"/>
        </w:rPr>
        <w:t>π</w:t>
      </w:r>
      <w:r w:rsidR="00466972" w:rsidRPr="00B221F4">
        <w:rPr>
          <w:rFonts w:cs="Arial"/>
          <w:lang w:val="el-GR"/>
        </w:rPr>
        <w:t xml:space="preserve">αρακάτω </w:t>
      </w:r>
      <w:r>
        <w:rPr>
          <w:rFonts w:cs="Arial"/>
          <w:lang w:val="el-GR"/>
        </w:rPr>
        <w:t xml:space="preserve">ορισμένες </w:t>
      </w:r>
      <w:r w:rsidRPr="00B221F4">
        <w:rPr>
          <w:rFonts w:cs="Arial"/>
          <w:lang w:val="el-GR"/>
        </w:rPr>
        <w:t>χαρακτηριστικές περιπτώσεις δυσλειτο</w:t>
      </w:r>
      <w:r>
        <w:rPr>
          <w:rFonts w:cs="Arial"/>
          <w:lang w:val="el-GR"/>
        </w:rPr>
        <w:t>υ</w:t>
      </w:r>
      <w:r w:rsidRPr="00B221F4">
        <w:rPr>
          <w:rFonts w:cs="Arial"/>
          <w:lang w:val="el-GR"/>
        </w:rPr>
        <w:t>ργίας του προτεινόμενου προγράμματος.</w:t>
      </w:r>
    </w:p>
    <w:p w14:paraId="720B52C2" w14:textId="3E178B0E" w:rsidR="00672430" w:rsidRPr="00B221F4" w:rsidRDefault="00672430" w:rsidP="007D0794">
      <w:pPr>
        <w:pStyle w:val="ListParagraph"/>
        <w:numPr>
          <w:ilvl w:val="0"/>
          <w:numId w:val="2"/>
        </w:numPr>
        <w:spacing w:before="120" w:after="0"/>
        <w:ind w:left="425" w:hanging="425"/>
        <w:contextualSpacing w:val="0"/>
        <w:jc w:val="both"/>
        <w:rPr>
          <w:rFonts w:cs="Arial"/>
          <w:lang w:val="el-GR"/>
        </w:rPr>
      </w:pPr>
      <w:r w:rsidRPr="00B221F4">
        <w:rPr>
          <w:rFonts w:cs="Arial"/>
          <w:lang w:val="el-GR"/>
        </w:rPr>
        <w:lastRenderedPageBreak/>
        <w:t>Ο</w:t>
      </w:r>
      <w:r w:rsidR="00F66B86" w:rsidRPr="00B221F4">
        <w:rPr>
          <w:rFonts w:cs="Arial"/>
          <w:lang w:val="el-GR"/>
        </w:rPr>
        <w:t>ι ώρες μαθημάτων Μηχανικής</w:t>
      </w:r>
      <w:r w:rsidRPr="00B221F4">
        <w:rPr>
          <w:rFonts w:cs="Arial"/>
          <w:lang w:val="el-GR"/>
        </w:rPr>
        <w:t>,</w:t>
      </w:r>
      <w:r w:rsidR="00F66B86" w:rsidRPr="00B221F4">
        <w:rPr>
          <w:rFonts w:cs="Arial"/>
          <w:lang w:val="el-GR"/>
        </w:rPr>
        <w:t xml:space="preserve"> που σήμερα είναι 12</w:t>
      </w:r>
      <w:r w:rsidRPr="00B221F4">
        <w:rPr>
          <w:rFonts w:cs="Arial"/>
          <w:lang w:val="el-GR"/>
        </w:rPr>
        <w:t>,</w:t>
      </w:r>
      <w:r w:rsidR="00F66B86" w:rsidRPr="00B221F4">
        <w:rPr>
          <w:rFonts w:cs="Arial"/>
          <w:lang w:val="el-GR"/>
        </w:rPr>
        <w:t xml:space="preserve"> με το ΝΠΣ </w:t>
      </w:r>
      <w:r w:rsidR="00430007">
        <w:rPr>
          <w:rFonts w:cs="Arial"/>
          <w:lang w:val="el-GR"/>
        </w:rPr>
        <w:t>γίνονται</w:t>
      </w:r>
      <w:r w:rsidR="00F66B86" w:rsidRPr="00B221F4">
        <w:rPr>
          <w:rFonts w:cs="Arial"/>
          <w:lang w:val="el-GR"/>
        </w:rPr>
        <w:t xml:space="preserve"> 18 (!), ενώ </w:t>
      </w:r>
      <w:r w:rsidR="00430007">
        <w:rPr>
          <w:rFonts w:cs="Arial"/>
          <w:lang w:val="el-GR"/>
        </w:rPr>
        <w:t xml:space="preserve">οι ώρες </w:t>
      </w:r>
      <w:r w:rsidR="00F66B86" w:rsidRPr="00B221F4">
        <w:rPr>
          <w:rFonts w:cs="Arial"/>
          <w:lang w:val="el-GR"/>
        </w:rPr>
        <w:t>των μαθημάτων Στατικής</w:t>
      </w:r>
      <w:r w:rsidRPr="00B221F4">
        <w:rPr>
          <w:rFonts w:cs="Arial"/>
          <w:lang w:val="el-GR"/>
        </w:rPr>
        <w:t>,</w:t>
      </w:r>
      <w:r w:rsidR="00F66B86" w:rsidRPr="00B221F4">
        <w:rPr>
          <w:rFonts w:cs="Arial"/>
          <w:lang w:val="el-GR"/>
        </w:rPr>
        <w:t xml:space="preserve"> που σήμερα είναι 14</w:t>
      </w:r>
      <w:r w:rsidRPr="00B221F4">
        <w:rPr>
          <w:rFonts w:cs="Arial"/>
          <w:lang w:val="el-GR"/>
        </w:rPr>
        <w:t>,</w:t>
      </w:r>
      <w:r w:rsidR="00F66B86" w:rsidRPr="00B221F4">
        <w:rPr>
          <w:rFonts w:cs="Arial"/>
          <w:lang w:val="el-GR"/>
        </w:rPr>
        <w:t xml:space="preserve"> </w:t>
      </w:r>
      <w:r w:rsidR="00430007">
        <w:rPr>
          <w:rFonts w:cs="Arial"/>
          <w:lang w:val="el-GR"/>
        </w:rPr>
        <w:t>γίνονται</w:t>
      </w:r>
      <w:r w:rsidR="00F66B86" w:rsidRPr="00B221F4">
        <w:rPr>
          <w:rFonts w:cs="Arial"/>
          <w:lang w:val="el-GR"/>
        </w:rPr>
        <w:t xml:space="preserve"> 8 (!!) </w:t>
      </w:r>
    </w:p>
    <w:p w14:paraId="491CB85C" w14:textId="77777777" w:rsidR="00672430" w:rsidRPr="00B221F4" w:rsidRDefault="00672430" w:rsidP="007D0794">
      <w:pPr>
        <w:pStyle w:val="ListParagraph"/>
        <w:numPr>
          <w:ilvl w:val="0"/>
          <w:numId w:val="2"/>
        </w:numPr>
        <w:spacing w:before="120" w:after="0"/>
        <w:ind w:left="425" w:hanging="425"/>
        <w:contextualSpacing w:val="0"/>
        <w:jc w:val="both"/>
        <w:rPr>
          <w:rFonts w:cs="Arial"/>
          <w:lang w:val="el-GR"/>
        </w:rPr>
      </w:pPr>
      <w:r w:rsidRPr="00B221F4">
        <w:rPr>
          <w:lang w:val="el-GR"/>
        </w:rPr>
        <w:t>Χ</w:t>
      </w:r>
      <w:r w:rsidR="00F66B86" w:rsidRPr="00B221F4">
        <w:rPr>
          <w:lang w:val="el-GR"/>
        </w:rPr>
        <w:t>ωρίς Μητρωική Στατική ΙΙΙ δεν νοείται σύγχρονος Μηχανικός</w:t>
      </w:r>
      <w:r w:rsidRPr="00B221F4">
        <w:rPr>
          <w:lang w:val="el-GR"/>
        </w:rPr>
        <w:t>.</w:t>
      </w:r>
      <w:r w:rsidR="00F66B86" w:rsidRPr="00B221F4">
        <w:rPr>
          <w:lang w:val="el-GR"/>
        </w:rPr>
        <w:t xml:space="preserve"> </w:t>
      </w:r>
    </w:p>
    <w:p w14:paraId="1393D837" w14:textId="6DD98EBD" w:rsidR="00E148E7" w:rsidRPr="00B221F4" w:rsidRDefault="00857223" w:rsidP="007D0794">
      <w:pPr>
        <w:pStyle w:val="ListParagraph"/>
        <w:numPr>
          <w:ilvl w:val="0"/>
          <w:numId w:val="2"/>
        </w:numPr>
        <w:spacing w:before="120" w:after="0"/>
        <w:ind w:left="425" w:hanging="425"/>
        <w:contextualSpacing w:val="0"/>
        <w:jc w:val="both"/>
        <w:rPr>
          <w:rFonts w:cs="Arial"/>
          <w:lang w:val="el-GR"/>
        </w:rPr>
      </w:pPr>
      <w:r w:rsidRPr="00B221F4">
        <w:rPr>
          <w:rFonts w:cs="Arial"/>
          <w:lang w:val="el-GR"/>
        </w:rPr>
        <w:t>Σύμφωνα με το Σχέδιο 1, οι φοιτητές σταματούν τα μαθήματα Στατικής στο 5</w:t>
      </w:r>
      <w:r w:rsidRPr="00B221F4">
        <w:rPr>
          <w:rFonts w:cs="Arial"/>
          <w:vertAlign w:val="superscript"/>
          <w:lang w:val="el-GR"/>
        </w:rPr>
        <w:t>ο</w:t>
      </w:r>
      <w:r w:rsidRPr="00B221F4">
        <w:rPr>
          <w:rFonts w:cs="Arial"/>
          <w:lang w:val="el-GR"/>
        </w:rPr>
        <w:t xml:space="preserve"> εξάμηνο και ξανα-παρακολουθούν Στατική στο 8</w:t>
      </w:r>
      <w:r w:rsidRPr="00B221F4">
        <w:rPr>
          <w:rFonts w:cs="Arial"/>
          <w:vertAlign w:val="superscript"/>
          <w:lang w:val="el-GR"/>
        </w:rPr>
        <w:t>ο</w:t>
      </w:r>
      <w:r w:rsidRPr="00B221F4">
        <w:rPr>
          <w:rFonts w:cs="Arial"/>
          <w:lang w:val="el-GR"/>
        </w:rPr>
        <w:t xml:space="preserve"> εξάμηνο!</w:t>
      </w:r>
    </w:p>
    <w:p w14:paraId="6A1F9075" w14:textId="16983C5B" w:rsidR="00BA4A46" w:rsidRPr="00B221F4" w:rsidRDefault="00E3489C" w:rsidP="007D0794">
      <w:pPr>
        <w:pStyle w:val="ListParagraph"/>
        <w:numPr>
          <w:ilvl w:val="0"/>
          <w:numId w:val="2"/>
        </w:numPr>
        <w:spacing w:before="120" w:after="0"/>
        <w:ind w:left="425" w:hanging="425"/>
        <w:contextualSpacing w:val="0"/>
        <w:jc w:val="both"/>
        <w:rPr>
          <w:rFonts w:cs="Arial"/>
          <w:lang w:val="el-GR"/>
        </w:rPr>
      </w:pPr>
      <w:r w:rsidRPr="00B221F4">
        <w:rPr>
          <w:rFonts w:cs="Arial"/>
          <w:lang w:val="el-GR"/>
        </w:rPr>
        <w:t xml:space="preserve">Το μάθημα της Αντισεισμικής Τεχνολογίας των Δομοστατικών πρέπει να έπεται του μαθήματος της Δυναμικής (Στατική </w:t>
      </w:r>
      <w:r w:rsidRPr="00B221F4">
        <w:rPr>
          <w:rFonts w:cs="Arial"/>
        </w:rPr>
        <w:t>IV</w:t>
      </w:r>
      <w:r w:rsidRPr="00B221F4">
        <w:rPr>
          <w:rFonts w:cs="Arial"/>
          <w:lang w:val="el-GR"/>
        </w:rPr>
        <w:t>), όπως συμβαίνει στο ισχύον πρόγραμμα</w:t>
      </w:r>
      <w:r w:rsidR="00E60488" w:rsidRPr="00B221F4">
        <w:rPr>
          <w:rFonts w:cs="Arial"/>
          <w:lang w:val="el-GR"/>
        </w:rPr>
        <w:t xml:space="preserve"> σπουδών</w:t>
      </w:r>
      <w:r w:rsidRPr="00B221F4">
        <w:rPr>
          <w:rFonts w:cs="Arial"/>
          <w:lang w:val="el-GR"/>
        </w:rPr>
        <w:t>. Στο Σχέδιο 1 του ΝΠΣ</w:t>
      </w:r>
      <w:r w:rsidR="00E60488" w:rsidRPr="00B221F4">
        <w:rPr>
          <w:rFonts w:cs="Arial"/>
          <w:lang w:val="el-GR"/>
        </w:rPr>
        <w:t>,</w:t>
      </w:r>
      <w:r w:rsidRPr="00B221F4">
        <w:rPr>
          <w:rFonts w:cs="Arial"/>
          <w:lang w:val="el-GR"/>
        </w:rPr>
        <w:t xml:space="preserve"> η Αντισεισμική Τεχνολογία θεωρείται μάθημα κορμού (ορθώς) και διδάσκεται στο 7</w:t>
      </w:r>
      <w:r w:rsidRPr="00B221F4">
        <w:rPr>
          <w:rFonts w:cs="Arial"/>
          <w:vertAlign w:val="superscript"/>
          <w:lang w:val="el-GR"/>
        </w:rPr>
        <w:t>ο</w:t>
      </w:r>
      <w:r w:rsidRPr="00B221F4">
        <w:rPr>
          <w:rFonts w:cs="Arial"/>
          <w:lang w:val="el-GR"/>
        </w:rPr>
        <w:t xml:space="preserve"> εξάμηνο, ενώ η Δυναμική όχι και έτσι </w:t>
      </w:r>
      <w:r w:rsidR="007D0794">
        <w:rPr>
          <w:rFonts w:cs="Arial"/>
          <w:lang w:val="el-GR"/>
        </w:rPr>
        <w:t>το ε</w:t>
      </w:r>
      <w:r w:rsidR="00E60488" w:rsidRPr="00B221F4">
        <w:rPr>
          <w:rFonts w:cs="Arial"/>
          <w:lang w:val="el-GR"/>
        </w:rPr>
        <w:t>νωρίτερο που μπορεί να διδαχθεί είναι</w:t>
      </w:r>
      <w:r w:rsidRPr="00B221F4">
        <w:rPr>
          <w:rFonts w:cs="Arial"/>
          <w:lang w:val="el-GR"/>
        </w:rPr>
        <w:t xml:space="preserve"> </w:t>
      </w:r>
      <w:r w:rsidR="00E60488" w:rsidRPr="00B221F4">
        <w:rPr>
          <w:rFonts w:cs="Arial"/>
          <w:lang w:val="el-GR"/>
        </w:rPr>
        <w:t>σ</w:t>
      </w:r>
      <w:r w:rsidRPr="00B221F4">
        <w:rPr>
          <w:rFonts w:cs="Arial"/>
          <w:lang w:val="el-GR"/>
        </w:rPr>
        <w:t>το 8</w:t>
      </w:r>
      <w:r w:rsidRPr="00B221F4">
        <w:rPr>
          <w:rFonts w:cs="Arial"/>
          <w:vertAlign w:val="superscript"/>
          <w:lang w:val="el-GR"/>
        </w:rPr>
        <w:t>ο</w:t>
      </w:r>
      <w:r w:rsidRPr="00B221F4">
        <w:rPr>
          <w:rFonts w:cs="Arial"/>
          <w:lang w:val="el-GR"/>
        </w:rPr>
        <w:t xml:space="preserve"> εξ</w:t>
      </w:r>
      <w:r w:rsidR="00E60488" w:rsidRPr="00B221F4">
        <w:rPr>
          <w:rFonts w:cs="Arial"/>
          <w:lang w:val="el-GR"/>
        </w:rPr>
        <w:t>άμηνο</w:t>
      </w:r>
      <w:r w:rsidRPr="00B221F4">
        <w:rPr>
          <w:rFonts w:cs="Arial"/>
          <w:lang w:val="el-GR"/>
        </w:rPr>
        <w:t>, δηλαδή έπεται της Αντισεισμικής Τεχνολογίας που είναι παράλογο.</w:t>
      </w:r>
    </w:p>
    <w:p w14:paraId="385703C3" w14:textId="1491C68B" w:rsidR="00E4625D" w:rsidRPr="00B221F4" w:rsidRDefault="00984110" w:rsidP="007D0794">
      <w:pPr>
        <w:pStyle w:val="ListParagraph"/>
        <w:numPr>
          <w:ilvl w:val="0"/>
          <w:numId w:val="2"/>
        </w:numPr>
        <w:spacing w:before="120" w:after="0"/>
        <w:ind w:left="425" w:hanging="425"/>
        <w:contextualSpacing w:val="0"/>
        <w:jc w:val="both"/>
        <w:rPr>
          <w:rFonts w:cs="Arial"/>
          <w:lang w:val="el-GR"/>
        </w:rPr>
      </w:pPr>
      <w:r w:rsidRPr="00B221F4">
        <w:rPr>
          <w:rFonts w:cs="Arial"/>
          <w:lang w:val="el-GR"/>
        </w:rPr>
        <w:t xml:space="preserve">Τα μαθήματα Σιδηρές Κατασκευές Ι και ΙΙ δεν έχουν την παραμικρή επικάλυψη και είναι αδύνατον να </w:t>
      </w:r>
      <w:r w:rsidR="00161F55" w:rsidRPr="00B221F4">
        <w:rPr>
          <w:rFonts w:cs="Arial"/>
          <w:lang w:val="el-GR"/>
        </w:rPr>
        <w:t>συγχωνευ</w:t>
      </w:r>
      <w:r w:rsidR="00161F55">
        <w:rPr>
          <w:rFonts w:cs="Arial"/>
          <w:lang w:val="el-GR"/>
        </w:rPr>
        <w:t>θ</w:t>
      </w:r>
      <w:r w:rsidR="00161F55" w:rsidRPr="00B221F4">
        <w:rPr>
          <w:rFonts w:cs="Arial"/>
          <w:lang w:val="el-GR"/>
        </w:rPr>
        <w:t>ούν</w:t>
      </w:r>
      <w:r w:rsidRPr="00B221F4">
        <w:rPr>
          <w:rFonts w:cs="Arial"/>
          <w:lang w:val="el-GR"/>
        </w:rPr>
        <w:t>.</w:t>
      </w:r>
      <w:r w:rsidR="00E3489C" w:rsidRPr="00B221F4">
        <w:rPr>
          <w:rFonts w:cs="Arial"/>
          <w:lang w:val="el-GR"/>
        </w:rPr>
        <w:t xml:space="preserve"> </w:t>
      </w:r>
    </w:p>
    <w:p w14:paraId="1D8E1C21" w14:textId="0C1D94E3" w:rsidR="00063F4D" w:rsidRPr="00B221F4" w:rsidRDefault="00063F4D" w:rsidP="007D0794">
      <w:pPr>
        <w:pStyle w:val="ListParagraph"/>
        <w:numPr>
          <w:ilvl w:val="0"/>
          <w:numId w:val="2"/>
        </w:numPr>
        <w:spacing w:before="120" w:after="0"/>
        <w:ind w:left="425" w:hanging="425"/>
        <w:contextualSpacing w:val="0"/>
        <w:jc w:val="both"/>
        <w:rPr>
          <w:rFonts w:cs="Arial"/>
          <w:lang w:val="el-GR"/>
        </w:rPr>
      </w:pPr>
      <w:r w:rsidRPr="00B221F4">
        <w:rPr>
          <w:rFonts w:cs="Arial"/>
          <w:lang w:val="el-GR"/>
        </w:rPr>
        <w:t>Τα μαθήματα Τεχνικό Σχέδιο, Γενική Οικοδομική και Στοιχεία Αρχιτεκτονικής έχουν τελείως διαφορετικό αντικείμενο και δεν μπορούν να συγχωνευθούν.</w:t>
      </w:r>
    </w:p>
    <w:p w14:paraId="015D8EC0" w14:textId="77777777" w:rsidR="007D0794" w:rsidRPr="00B221F4" w:rsidRDefault="007D0794" w:rsidP="007D0794">
      <w:pPr>
        <w:pStyle w:val="ListParagraph"/>
        <w:numPr>
          <w:ilvl w:val="0"/>
          <w:numId w:val="2"/>
        </w:numPr>
        <w:spacing w:before="120" w:after="0"/>
        <w:ind w:left="425" w:hanging="425"/>
        <w:contextualSpacing w:val="0"/>
        <w:jc w:val="both"/>
        <w:rPr>
          <w:rFonts w:cs="Arial"/>
          <w:lang w:val="el-GR"/>
        </w:rPr>
      </w:pPr>
      <w:r w:rsidRPr="00B221F4">
        <w:rPr>
          <w:rFonts w:cs="Arial"/>
          <w:lang w:val="el-GR"/>
        </w:rPr>
        <w:t xml:space="preserve">Το </w:t>
      </w:r>
      <w:r w:rsidRPr="00B221F4">
        <w:rPr>
          <w:rFonts w:cs="Arial"/>
          <w:b/>
          <w:lang w:val="el-GR"/>
        </w:rPr>
        <w:t xml:space="preserve">Σύνθετο Διατομεακό Θέμα </w:t>
      </w:r>
      <w:r w:rsidRPr="00B221F4">
        <w:rPr>
          <w:rFonts w:cs="Arial"/>
          <w:lang w:val="el-GR"/>
        </w:rPr>
        <w:t>προβλέπεται στο 6</w:t>
      </w:r>
      <w:r w:rsidRPr="00B221F4">
        <w:rPr>
          <w:rFonts w:cs="Arial"/>
          <w:vertAlign w:val="superscript"/>
          <w:lang w:val="el-GR"/>
        </w:rPr>
        <w:t>ο</w:t>
      </w:r>
      <w:r w:rsidRPr="00B221F4">
        <w:rPr>
          <w:rFonts w:cs="Arial"/>
          <w:lang w:val="el-GR"/>
        </w:rPr>
        <w:t xml:space="preserve"> εξάμηνο, όταν οι φοιτητές έχουν παρακολουθήσει </w:t>
      </w:r>
      <w:r w:rsidRPr="008A78FD">
        <w:rPr>
          <w:rFonts w:cs="Arial"/>
          <w:lang w:val="el-GR"/>
        </w:rPr>
        <w:t>μόνον 2 «θεωρητικά» μαθήματα του Δομοστατικού Τομέα</w:t>
      </w:r>
      <w:r w:rsidRPr="00B221F4">
        <w:rPr>
          <w:rFonts w:cs="Arial"/>
          <w:lang w:val="el-GR"/>
        </w:rPr>
        <w:t xml:space="preserve"> (Στατική Ι και Στατική ΙΙ) και </w:t>
      </w:r>
      <w:r w:rsidRPr="008A78FD">
        <w:rPr>
          <w:rFonts w:cs="Arial"/>
          <w:lang w:val="el-GR"/>
        </w:rPr>
        <w:t>κανένα μάθημα σχεδιασμού</w:t>
      </w:r>
      <w:r w:rsidRPr="00B221F4">
        <w:rPr>
          <w:rFonts w:cs="Arial"/>
          <w:lang w:val="el-GR"/>
        </w:rPr>
        <w:t xml:space="preserve">. Το Σύνθετο Διατομεακό Θέμα έχει νόημα μόνον εφόσον καταλήγει στο </w:t>
      </w:r>
      <w:r w:rsidRPr="00B221F4">
        <w:rPr>
          <w:rFonts w:cs="Arial"/>
          <w:b/>
          <w:lang w:val="el-GR"/>
        </w:rPr>
        <w:t>σχεδιασμό</w:t>
      </w:r>
      <w:r w:rsidRPr="00B221F4">
        <w:rPr>
          <w:rFonts w:cs="Arial"/>
          <w:lang w:val="el-GR"/>
        </w:rPr>
        <w:t xml:space="preserve"> ενός σύνθετου έργου που απαιτεί γνώσεις από διάφορους Τομείς, επομένως πρέπει να εκπονείται μετά το πέρας όλων των μαθημάτων. Προτείνεται να μεταφερθεί στο </w:t>
      </w:r>
      <w:r w:rsidRPr="001366FF">
        <w:rPr>
          <w:rFonts w:cs="Arial"/>
          <w:lang w:val="el-GR"/>
        </w:rPr>
        <w:t>10</w:t>
      </w:r>
      <w:r w:rsidRPr="001366FF">
        <w:rPr>
          <w:rFonts w:cs="Arial"/>
          <w:vertAlign w:val="superscript"/>
          <w:lang w:val="el-GR"/>
        </w:rPr>
        <w:t>ο</w:t>
      </w:r>
      <w:r w:rsidRPr="001366FF">
        <w:rPr>
          <w:rFonts w:cs="Arial"/>
          <w:lang w:val="el-GR"/>
        </w:rPr>
        <w:t xml:space="preserve"> εξάμηνο</w:t>
      </w:r>
      <w:r w:rsidRPr="00B221F4">
        <w:rPr>
          <w:rFonts w:cs="Arial"/>
          <w:lang w:val="el-GR"/>
        </w:rPr>
        <w:t>, μαζί με τη Διπλωματική εργασία.</w:t>
      </w:r>
    </w:p>
    <w:p w14:paraId="1FAFA6C7" w14:textId="77777777" w:rsidR="007D0794" w:rsidRPr="00B221F4" w:rsidRDefault="007D0794" w:rsidP="007D0794">
      <w:pPr>
        <w:pStyle w:val="ListParagraph"/>
        <w:numPr>
          <w:ilvl w:val="0"/>
          <w:numId w:val="2"/>
        </w:numPr>
        <w:spacing w:before="120" w:after="0"/>
        <w:ind w:left="425" w:hanging="425"/>
        <w:contextualSpacing w:val="0"/>
        <w:jc w:val="both"/>
        <w:rPr>
          <w:rFonts w:cs="Arial"/>
          <w:lang w:val="el-GR"/>
        </w:rPr>
      </w:pPr>
      <w:r w:rsidRPr="00B221F4">
        <w:rPr>
          <w:rFonts w:cs="Arial"/>
          <w:lang w:val="el-GR"/>
        </w:rPr>
        <w:t xml:space="preserve">Πρέπει να διευκρινιστεί πώς θα γίνονται οι </w:t>
      </w:r>
      <w:r w:rsidRPr="00B221F4">
        <w:rPr>
          <w:rFonts w:cs="Arial"/>
          <w:b/>
          <w:lang w:val="el-GR"/>
        </w:rPr>
        <w:t>Απογευματινές Δραστηριότητες</w:t>
      </w:r>
      <w:r w:rsidRPr="00B221F4">
        <w:rPr>
          <w:rFonts w:cs="Arial"/>
          <w:lang w:val="el-GR"/>
        </w:rPr>
        <w:t>. Συγκεκριμένα:</w:t>
      </w:r>
    </w:p>
    <w:p w14:paraId="309DF351" w14:textId="73487DE1" w:rsidR="007D0794" w:rsidRPr="00B221F4" w:rsidRDefault="007D0794" w:rsidP="007D0794">
      <w:pPr>
        <w:pStyle w:val="ListParagraph"/>
        <w:numPr>
          <w:ilvl w:val="0"/>
          <w:numId w:val="4"/>
        </w:numPr>
        <w:spacing w:before="120" w:after="0"/>
        <w:ind w:left="851" w:hanging="426"/>
        <w:jc w:val="both"/>
        <w:rPr>
          <w:rFonts w:cs="Arial"/>
          <w:lang w:val="el-GR"/>
        </w:rPr>
      </w:pPr>
      <w:r w:rsidRPr="00B221F4">
        <w:rPr>
          <w:rFonts w:cs="Arial"/>
          <w:lang w:val="el-GR"/>
        </w:rPr>
        <w:t xml:space="preserve">Πώς θα γίνεται η διδασκαλία τους? </w:t>
      </w:r>
      <w:r w:rsidR="00161F55" w:rsidRPr="00B221F4">
        <w:rPr>
          <w:rFonts w:cs="Arial"/>
          <w:lang w:val="el-GR"/>
        </w:rPr>
        <w:t>Πολλ</w:t>
      </w:r>
      <w:r w:rsidR="00161F55">
        <w:rPr>
          <w:rFonts w:cs="Arial"/>
          <w:lang w:val="el-GR"/>
        </w:rPr>
        <w:t>ές</w:t>
      </w:r>
      <w:r w:rsidR="00161F55" w:rsidRPr="00B221F4">
        <w:rPr>
          <w:rFonts w:cs="Arial"/>
          <w:lang w:val="el-GR"/>
        </w:rPr>
        <w:t xml:space="preserve"> </w:t>
      </w:r>
      <w:r w:rsidRPr="00B221F4">
        <w:rPr>
          <w:rFonts w:cs="Arial"/>
          <w:lang w:val="el-GR"/>
        </w:rPr>
        <w:t xml:space="preserve">από </w:t>
      </w:r>
      <w:r w:rsidR="00161F55" w:rsidRPr="00B221F4">
        <w:rPr>
          <w:rFonts w:cs="Arial"/>
          <w:lang w:val="el-GR"/>
        </w:rPr>
        <w:t>αυτ</w:t>
      </w:r>
      <w:r w:rsidR="00161F55">
        <w:rPr>
          <w:rFonts w:cs="Arial"/>
          <w:lang w:val="el-GR"/>
        </w:rPr>
        <w:t>ές</w:t>
      </w:r>
      <w:r w:rsidR="00161F55" w:rsidRPr="00B221F4">
        <w:rPr>
          <w:rFonts w:cs="Arial"/>
          <w:lang w:val="el-GR"/>
        </w:rPr>
        <w:t xml:space="preserve"> </w:t>
      </w:r>
      <w:r w:rsidRPr="00B221F4">
        <w:rPr>
          <w:rFonts w:cs="Arial"/>
          <w:lang w:val="el-GR"/>
        </w:rPr>
        <w:t xml:space="preserve">απαιτούν χρήση υπολογιστή. Επαρκούν τα διαθέσιμα </w:t>
      </w:r>
      <w:r w:rsidRPr="00B221F4">
        <w:rPr>
          <w:rFonts w:cs="Arial"/>
        </w:rPr>
        <w:t>PC</w:t>
      </w:r>
      <w:r w:rsidRPr="00A476D9">
        <w:rPr>
          <w:rFonts w:cs="Arial"/>
          <w:lang w:val="el-GR"/>
        </w:rPr>
        <w:t xml:space="preserve"> </w:t>
      </w:r>
      <w:r w:rsidRPr="00B221F4">
        <w:rPr>
          <w:rFonts w:cs="Arial"/>
        </w:rPr>
        <w:t>Labs</w:t>
      </w:r>
      <w:r w:rsidRPr="00B221F4">
        <w:rPr>
          <w:rFonts w:cs="Arial"/>
          <w:lang w:val="el-GR"/>
        </w:rPr>
        <w:t>?</w:t>
      </w:r>
    </w:p>
    <w:p w14:paraId="368C27CB" w14:textId="3F5E0CB2" w:rsidR="007D0794" w:rsidRPr="00B221F4" w:rsidRDefault="007D0794" w:rsidP="007D0794">
      <w:pPr>
        <w:pStyle w:val="ListParagraph"/>
        <w:numPr>
          <w:ilvl w:val="0"/>
          <w:numId w:val="4"/>
        </w:numPr>
        <w:spacing w:before="120" w:after="0"/>
        <w:ind w:left="851" w:hanging="426"/>
        <w:jc w:val="both"/>
        <w:rPr>
          <w:rFonts w:cs="Arial"/>
          <w:lang w:val="el-GR"/>
        </w:rPr>
      </w:pPr>
      <w:r w:rsidRPr="00B221F4">
        <w:rPr>
          <w:rFonts w:cs="Arial"/>
          <w:lang w:val="el-GR"/>
        </w:rPr>
        <w:t>Ποιός θα τα διδάσκει? Μέλη ΔΕΠ ή μεταπτυχιακοί φοιτητές?</w:t>
      </w:r>
      <w:r w:rsidR="00161F55">
        <w:rPr>
          <w:rFonts w:cs="Arial"/>
          <w:lang w:val="el-GR"/>
        </w:rPr>
        <w:t xml:space="preserve"> Χωρίς πρόβλεψη αμοιβόμενων βοηθών διδασκαλίας δεν θα είναι εφικτή η ουσιαστική λειτουργία τους.</w:t>
      </w:r>
    </w:p>
    <w:p w14:paraId="39DF6785" w14:textId="77777777" w:rsidR="007D0794" w:rsidRPr="00B221F4" w:rsidRDefault="007D0794" w:rsidP="007D0794">
      <w:pPr>
        <w:pStyle w:val="ListParagraph"/>
        <w:numPr>
          <w:ilvl w:val="0"/>
          <w:numId w:val="4"/>
        </w:numPr>
        <w:spacing w:before="120" w:after="0"/>
        <w:ind w:left="851" w:hanging="426"/>
        <w:jc w:val="both"/>
        <w:rPr>
          <w:rFonts w:cs="Arial"/>
          <w:lang w:val="el-GR"/>
        </w:rPr>
      </w:pPr>
      <w:r w:rsidRPr="00B221F4">
        <w:rPr>
          <w:rFonts w:cs="Arial"/>
          <w:lang w:val="el-GR"/>
        </w:rPr>
        <w:t>Θα υπάρχει εξέταση/βαθμολογία?</w:t>
      </w:r>
    </w:p>
    <w:p w14:paraId="4A932BD0" w14:textId="04C0B6F3" w:rsidR="007D0794" w:rsidRPr="00B221F4" w:rsidRDefault="007D0794" w:rsidP="007D0794">
      <w:pPr>
        <w:pStyle w:val="ListParagraph"/>
        <w:numPr>
          <w:ilvl w:val="0"/>
          <w:numId w:val="4"/>
        </w:numPr>
        <w:spacing w:before="120" w:after="0"/>
        <w:ind w:left="851" w:hanging="426"/>
        <w:jc w:val="both"/>
        <w:rPr>
          <w:rFonts w:cs="Arial"/>
          <w:lang w:val="el-GR"/>
        </w:rPr>
      </w:pPr>
      <w:r w:rsidRPr="00B221F4">
        <w:rPr>
          <w:rFonts w:cs="Arial"/>
          <w:lang w:val="el-GR"/>
        </w:rPr>
        <w:t xml:space="preserve">Θα μπορεί να γίνει επιλογή μεταξύ εναλλακτικών μαθημάτων από </w:t>
      </w:r>
      <w:r w:rsidR="001366FF">
        <w:rPr>
          <w:rFonts w:cs="Arial"/>
          <w:lang w:val="el-GR"/>
        </w:rPr>
        <w:t>τους σπουδαστές</w:t>
      </w:r>
      <w:r w:rsidRPr="00B221F4">
        <w:rPr>
          <w:rFonts w:cs="Arial"/>
          <w:lang w:val="el-GR"/>
        </w:rPr>
        <w:t>?</w:t>
      </w:r>
    </w:p>
    <w:p w14:paraId="0B04A3E1" w14:textId="77777777" w:rsidR="007D0794" w:rsidRPr="00B221F4" w:rsidRDefault="007D0794" w:rsidP="007D0794">
      <w:pPr>
        <w:pStyle w:val="ListParagraph"/>
        <w:numPr>
          <w:ilvl w:val="0"/>
          <w:numId w:val="4"/>
        </w:numPr>
        <w:spacing w:before="120" w:after="0"/>
        <w:ind w:left="851" w:hanging="426"/>
        <w:jc w:val="both"/>
        <w:rPr>
          <w:rFonts w:cs="Arial"/>
          <w:lang w:val="el-GR"/>
        </w:rPr>
      </w:pPr>
      <w:r w:rsidRPr="00B221F4">
        <w:rPr>
          <w:rFonts w:cs="Arial"/>
          <w:lang w:val="el-GR"/>
        </w:rPr>
        <w:t xml:space="preserve">Η παρακολούθησή τους θα είναι </w:t>
      </w:r>
      <w:r w:rsidRPr="00B221F4">
        <w:rPr>
          <w:rFonts w:cs="Arial"/>
          <w:b/>
          <w:lang w:val="el-GR"/>
        </w:rPr>
        <w:t>προαπαιτούμενη</w:t>
      </w:r>
      <w:r w:rsidRPr="00B221F4">
        <w:rPr>
          <w:rFonts w:cs="Arial"/>
          <w:lang w:val="el-GR"/>
        </w:rPr>
        <w:t xml:space="preserve"> για άλλα μαθήματα του κανονικού προγράμματος?</w:t>
      </w:r>
    </w:p>
    <w:p w14:paraId="6EBAC8D8" w14:textId="78C00FCB" w:rsidR="00857223" w:rsidRPr="00B221F4" w:rsidRDefault="00857223" w:rsidP="007D0794">
      <w:pPr>
        <w:pStyle w:val="ListParagraph"/>
        <w:numPr>
          <w:ilvl w:val="0"/>
          <w:numId w:val="2"/>
        </w:numPr>
        <w:spacing w:before="120" w:after="0"/>
        <w:ind w:left="425" w:hanging="425"/>
        <w:contextualSpacing w:val="0"/>
        <w:jc w:val="both"/>
        <w:rPr>
          <w:rFonts w:cs="Arial"/>
          <w:lang w:val="el-GR"/>
        </w:rPr>
      </w:pPr>
      <w:r w:rsidRPr="00B221F4">
        <w:rPr>
          <w:rFonts w:cs="Arial"/>
          <w:lang w:val="el-GR"/>
        </w:rPr>
        <w:t xml:space="preserve">Ποιό </w:t>
      </w:r>
      <w:r w:rsidR="00161F55">
        <w:rPr>
          <w:rFonts w:cs="Arial"/>
          <w:lang w:val="el-GR"/>
        </w:rPr>
        <w:t xml:space="preserve">είναι </w:t>
      </w:r>
      <w:r w:rsidRPr="00B221F4">
        <w:rPr>
          <w:rFonts w:cs="Arial"/>
          <w:lang w:val="el-GR"/>
        </w:rPr>
        <w:t xml:space="preserve">το νόημα της ενότητας </w:t>
      </w:r>
      <w:r w:rsidR="00BA4A46" w:rsidRPr="00B221F4">
        <w:rPr>
          <w:rFonts w:cs="Arial"/>
          <w:lang w:val="el-GR"/>
        </w:rPr>
        <w:t xml:space="preserve">των ετερόκλητων </w:t>
      </w:r>
      <w:r w:rsidRPr="00B221F4">
        <w:rPr>
          <w:rFonts w:cs="Arial"/>
          <w:lang w:val="el-GR"/>
        </w:rPr>
        <w:t>ΚΕΥ μαθημάτων (1 από 3) του 4</w:t>
      </w:r>
      <w:r w:rsidRPr="00B221F4">
        <w:rPr>
          <w:rFonts w:cs="Arial"/>
          <w:vertAlign w:val="superscript"/>
          <w:lang w:val="el-GR"/>
        </w:rPr>
        <w:t>ου</w:t>
      </w:r>
      <w:r w:rsidRPr="00B221F4">
        <w:rPr>
          <w:rFonts w:cs="Arial"/>
          <w:lang w:val="el-GR"/>
        </w:rPr>
        <w:t xml:space="preserve"> εξαμήνου: «Μιγαδικές Συναρτήσεις», «Μερικές Διαφορικές Εξισώσεις», «Στοιχεία Φιλοσοφίας και Θεωρία Γνώσεων»? Με ποιό κριτήριο κάποιος σπουδαστής θα διαλέξει μεταξύ αυτών των μαθημάτων? </w:t>
      </w:r>
      <w:r w:rsidR="00BA4A46" w:rsidRPr="00B221F4">
        <w:rPr>
          <w:rFonts w:cs="Arial"/>
          <w:lang w:val="el-GR"/>
        </w:rPr>
        <w:t>Επιπρόσθετα, π.χ.</w:t>
      </w:r>
      <w:r w:rsidRPr="00B221F4">
        <w:rPr>
          <w:rFonts w:cs="Arial"/>
          <w:lang w:val="el-GR"/>
        </w:rPr>
        <w:t xml:space="preserve"> οι Μερικές Διαφορικές</w:t>
      </w:r>
      <w:r w:rsidR="00BA4A46" w:rsidRPr="00B221F4">
        <w:rPr>
          <w:rFonts w:cs="Arial"/>
          <w:lang w:val="el-GR"/>
        </w:rPr>
        <w:t xml:space="preserve"> Εξισώσεις δεν θεωρούνται βασική</w:t>
      </w:r>
      <w:r w:rsidRPr="00B221F4">
        <w:rPr>
          <w:rFonts w:cs="Arial"/>
          <w:lang w:val="el-GR"/>
        </w:rPr>
        <w:t xml:space="preserve"> γνώσ</w:t>
      </w:r>
      <w:r w:rsidR="00BA4A46" w:rsidRPr="00B221F4">
        <w:rPr>
          <w:rFonts w:cs="Arial"/>
          <w:lang w:val="el-GR"/>
        </w:rPr>
        <w:t>η</w:t>
      </w:r>
      <w:r w:rsidRPr="00B221F4">
        <w:rPr>
          <w:rFonts w:cs="Arial"/>
          <w:lang w:val="el-GR"/>
        </w:rPr>
        <w:t xml:space="preserve"> για τα μαθήματα των επόμενων εξαμήνων, οπότε θα έπρεπε να είναι υποχ</w:t>
      </w:r>
      <w:r w:rsidR="00BA4A46" w:rsidRPr="00B221F4">
        <w:rPr>
          <w:rFonts w:cs="Arial"/>
          <w:lang w:val="el-GR"/>
        </w:rPr>
        <w:t>ρεωτικό μάθημα</w:t>
      </w:r>
      <w:r w:rsidRPr="00B221F4">
        <w:rPr>
          <w:rFonts w:cs="Arial"/>
          <w:lang w:val="el-GR"/>
        </w:rPr>
        <w:t>?</w:t>
      </w:r>
    </w:p>
    <w:p w14:paraId="11E3B290" w14:textId="6468CEEA" w:rsidR="00BA4A46" w:rsidRPr="00B221F4" w:rsidRDefault="00BA4A46" w:rsidP="007D0794">
      <w:pPr>
        <w:pStyle w:val="ListParagraph"/>
        <w:numPr>
          <w:ilvl w:val="0"/>
          <w:numId w:val="2"/>
        </w:numPr>
        <w:spacing w:before="120" w:after="0"/>
        <w:ind w:left="425" w:hanging="425"/>
        <w:contextualSpacing w:val="0"/>
        <w:jc w:val="both"/>
        <w:rPr>
          <w:rFonts w:cs="Arial"/>
          <w:lang w:val="el-GR"/>
        </w:rPr>
      </w:pPr>
      <w:r w:rsidRPr="00B221F4">
        <w:rPr>
          <w:rFonts w:cs="Arial"/>
          <w:lang w:val="el-GR"/>
        </w:rPr>
        <w:t xml:space="preserve">Με ποιό κριτήριο το μάθημα «Οδοστρώματα» από μάθημα κατεύθυνσης έγινε υποχρεωτικό </w:t>
      </w:r>
      <w:r w:rsidR="007D0794">
        <w:rPr>
          <w:rFonts w:cs="Arial"/>
          <w:lang w:val="el-GR"/>
        </w:rPr>
        <w:t xml:space="preserve">μάθημα </w:t>
      </w:r>
      <w:r w:rsidRPr="00B221F4">
        <w:rPr>
          <w:rFonts w:cs="Arial"/>
          <w:lang w:val="el-GR"/>
        </w:rPr>
        <w:t>κορμού?</w:t>
      </w:r>
    </w:p>
    <w:p w14:paraId="17256D6D" w14:textId="77777777" w:rsidR="00BA4A46" w:rsidRPr="00DF7A36" w:rsidRDefault="00BA4A46" w:rsidP="00BA4A46">
      <w:pPr>
        <w:pStyle w:val="ListParagraph"/>
        <w:spacing w:after="0"/>
        <w:ind w:left="567"/>
        <w:jc w:val="both"/>
        <w:rPr>
          <w:rFonts w:cs="Arial"/>
          <w:sz w:val="16"/>
          <w:szCs w:val="16"/>
          <w:lang w:val="el-GR"/>
        </w:rPr>
      </w:pPr>
    </w:p>
    <w:p w14:paraId="0EB80BC5" w14:textId="6A973C2C" w:rsidR="00780461" w:rsidRPr="00B221F4" w:rsidRDefault="004009C9" w:rsidP="00747D43">
      <w:pPr>
        <w:spacing w:after="0"/>
        <w:rPr>
          <w:rFonts w:cs="Arial"/>
          <w:b/>
          <w:lang w:val="el-GR"/>
        </w:rPr>
      </w:pPr>
      <w:r w:rsidRPr="00B221F4">
        <w:rPr>
          <w:rFonts w:cs="Arial"/>
          <w:b/>
          <w:lang w:val="el-GR"/>
        </w:rPr>
        <w:t>Σ</w:t>
      </w:r>
      <w:r w:rsidR="007D0794">
        <w:rPr>
          <w:rFonts w:cs="Arial"/>
          <w:b/>
          <w:lang w:val="el-GR"/>
        </w:rPr>
        <w:t>υμπέρασμα</w:t>
      </w:r>
    </w:p>
    <w:p w14:paraId="6249C65B" w14:textId="0F933DB7" w:rsidR="00EB701E" w:rsidRPr="003A52B3" w:rsidRDefault="00063F4D" w:rsidP="00DF7A36">
      <w:pPr>
        <w:pStyle w:val="ListParagraph"/>
        <w:spacing w:before="120" w:after="0"/>
        <w:ind w:left="0"/>
        <w:jc w:val="both"/>
        <w:rPr>
          <w:rFonts w:cs="Arial"/>
          <w:lang w:val="el-GR"/>
        </w:rPr>
      </w:pPr>
      <w:r w:rsidRPr="006D0432">
        <w:rPr>
          <w:b/>
          <w:lang w:val="el-GR"/>
        </w:rPr>
        <w:t xml:space="preserve">Με βάση τα παραπάνω σχόλια, </w:t>
      </w:r>
      <w:r w:rsidR="007D0794" w:rsidRPr="006D0432">
        <w:rPr>
          <w:b/>
          <w:lang w:val="el-GR"/>
        </w:rPr>
        <w:t>ο Τομέας Δομοστατικής θεωρεί</w:t>
      </w:r>
      <w:r w:rsidRPr="006D0432">
        <w:rPr>
          <w:b/>
          <w:lang w:val="el-GR"/>
        </w:rPr>
        <w:t xml:space="preserve"> ότι </w:t>
      </w:r>
      <w:r w:rsidR="007D0794" w:rsidRPr="006D0432">
        <w:rPr>
          <w:b/>
          <w:lang w:val="el-GR"/>
        </w:rPr>
        <w:t xml:space="preserve">το προτεινόμενο Νέο Πρόγραμμα Σπουδών δεν έχει υποστεί την απαραίτητη επεξεργασία και επομένως </w:t>
      </w:r>
      <w:r w:rsidRPr="006D0432">
        <w:rPr>
          <w:b/>
          <w:lang w:val="el-GR"/>
        </w:rPr>
        <w:t xml:space="preserve">η τροποποίηση του </w:t>
      </w:r>
      <w:r w:rsidR="007D0794" w:rsidRPr="006D0432">
        <w:rPr>
          <w:b/>
          <w:lang w:val="el-GR"/>
        </w:rPr>
        <w:t>ισχύοντος Π</w:t>
      </w:r>
      <w:r w:rsidRPr="006D0432">
        <w:rPr>
          <w:b/>
          <w:lang w:val="el-GR"/>
        </w:rPr>
        <w:t xml:space="preserve">ρογράμματος </w:t>
      </w:r>
      <w:r w:rsidR="007D0794" w:rsidRPr="006D0432">
        <w:rPr>
          <w:b/>
          <w:lang w:val="el-GR"/>
        </w:rPr>
        <w:t>Σ</w:t>
      </w:r>
      <w:r w:rsidRPr="006D0432">
        <w:rPr>
          <w:b/>
          <w:lang w:val="el-GR"/>
        </w:rPr>
        <w:t xml:space="preserve">πουδών </w:t>
      </w:r>
      <w:r w:rsidR="007D0794" w:rsidRPr="006D0432">
        <w:rPr>
          <w:b/>
          <w:lang w:val="el-GR"/>
        </w:rPr>
        <w:t xml:space="preserve">στην παρούσα φάση </w:t>
      </w:r>
      <w:r w:rsidRPr="006D0432">
        <w:rPr>
          <w:b/>
          <w:lang w:val="el-GR"/>
        </w:rPr>
        <w:t>είναι εντελώς ανώριμη.</w:t>
      </w:r>
    </w:p>
    <w:sectPr w:rsidR="00EB701E" w:rsidRPr="003A52B3" w:rsidSect="002D4B83">
      <w:footerReference w:type="default" r:id="rId9"/>
      <w:pgSz w:w="12240" w:h="15840"/>
      <w:pgMar w:top="1361" w:right="1361" w:bottom="1361" w:left="136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F83BDC" w14:textId="77777777" w:rsidR="00A807DC" w:rsidRDefault="00A807DC" w:rsidP="00266C3A">
      <w:pPr>
        <w:spacing w:after="0" w:line="240" w:lineRule="auto"/>
      </w:pPr>
      <w:r>
        <w:separator/>
      </w:r>
    </w:p>
  </w:endnote>
  <w:endnote w:type="continuationSeparator" w:id="0">
    <w:p w14:paraId="6B6F51CF" w14:textId="77777777" w:rsidR="00A807DC" w:rsidRDefault="00A807DC" w:rsidP="00266C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Calibri Light">
    <w:altName w:val="Calibri"/>
    <w:charset w:val="A1"/>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32356"/>
      <w:docPartObj>
        <w:docPartGallery w:val="Page Numbers (Bottom of Page)"/>
        <w:docPartUnique/>
      </w:docPartObj>
    </w:sdtPr>
    <w:sdtEndPr>
      <w:rPr>
        <w:noProof/>
      </w:rPr>
    </w:sdtEndPr>
    <w:sdtContent>
      <w:p w14:paraId="1092DFE2" w14:textId="77777777" w:rsidR="00857223" w:rsidRDefault="006C1CFB">
        <w:pPr>
          <w:pStyle w:val="Footer"/>
          <w:jc w:val="right"/>
        </w:pPr>
        <w:r>
          <w:fldChar w:fldCharType="begin"/>
        </w:r>
        <w:r>
          <w:instrText xml:space="preserve"> PAGE   \* MERGEFORMAT </w:instrText>
        </w:r>
        <w:r>
          <w:fldChar w:fldCharType="separate"/>
        </w:r>
        <w:r w:rsidR="00EB41DC">
          <w:rPr>
            <w:noProof/>
          </w:rPr>
          <w:t>3</w:t>
        </w:r>
        <w:r>
          <w:rPr>
            <w:noProof/>
          </w:rPr>
          <w:fldChar w:fldCharType="end"/>
        </w:r>
      </w:p>
    </w:sdtContent>
  </w:sdt>
  <w:p w14:paraId="6DA38D3B" w14:textId="77777777" w:rsidR="00857223" w:rsidRDefault="008572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A3CD79" w14:textId="77777777" w:rsidR="00A807DC" w:rsidRDefault="00A807DC" w:rsidP="00266C3A">
      <w:pPr>
        <w:spacing w:after="0" w:line="240" w:lineRule="auto"/>
      </w:pPr>
      <w:r>
        <w:separator/>
      </w:r>
    </w:p>
  </w:footnote>
  <w:footnote w:type="continuationSeparator" w:id="0">
    <w:p w14:paraId="1F5336EA" w14:textId="77777777" w:rsidR="00A807DC" w:rsidRDefault="00A807DC" w:rsidP="00266C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15796"/>
    <w:multiLevelType w:val="hybridMultilevel"/>
    <w:tmpl w:val="D28A9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026420"/>
    <w:multiLevelType w:val="hybridMultilevel"/>
    <w:tmpl w:val="D39C9590"/>
    <w:lvl w:ilvl="0" w:tplc="0408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164F7C59"/>
    <w:multiLevelType w:val="hybridMultilevel"/>
    <w:tmpl w:val="86DC0C16"/>
    <w:lvl w:ilvl="0" w:tplc="0408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164534"/>
    <w:multiLevelType w:val="hybridMultilevel"/>
    <w:tmpl w:val="86DC0C16"/>
    <w:lvl w:ilvl="0" w:tplc="0408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601EE2"/>
    <w:multiLevelType w:val="hybridMultilevel"/>
    <w:tmpl w:val="BB3A3FD6"/>
    <w:lvl w:ilvl="0" w:tplc="0408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DBA40AC"/>
    <w:multiLevelType w:val="hybridMultilevel"/>
    <w:tmpl w:val="7F16FE1E"/>
    <w:lvl w:ilvl="0" w:tplc="04080003">
      <w:start w:val="1"/>
      <w:numFmt w:val="bullet"/>
      <w:lvlText w:val="o"/>
      <w:lvlJc w:val="left"/>
      <w:pPr>
        <w:ind w:left="720" w:hanging="360"/>
      </w:pPr>
      <w:rPr>
        <w:rFonts w:ascii="Courier New" w:hAnsi="Courier New" w:cs="Courier New" w:hint="default"/>
      </w:rPr>
    </w:lvl>
    <w:lvl w:ilvl="1" w:tplc="04080001">
      <w:start w:val="1"/>
      <w:numFmt w:val="bullet"/>
      <w:lvlText w:val=""/>
      <w:lvlJc w:val="left"/>
      <w:pPr>
        <w:ind w:left="1440" w:hanging="360"/>
      </w:pPr>
      <w:rPr>
        <w:rFonts w:ascii="Symbol" w:hAnsi="Symbol"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59891618"/>
    <w:multiLevelType w:val="hybridMultilevel"/>
    <w:tmpl w:val="8A0446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AF251CE"/>
    <w:multiLevelType w:val="hybridMultilevel"/>
    <w:tmpl w:val="45568A62"/>
    <w:lvl w:ilvl="0" w:tplc="04080003">
      <w:start w:val="1"/>
      <w:numFmt w:val="bullet"/>
      <w:lvlText w:val="o"/>
      <w:lvlJc w:val="left"/>
      <w:pPr>
        <w:ind w:left="720" w:hanging="360"/>
      </w:pPr>
      <w:rPr>
        <w:rFonts w:ascii="Courier New" w:hAnsi="Courier New" w:cs="Courier New" w:hint="default"/>
      </w:rPr>
    </w:lvl>
    <w:lvl w:ilvl="1" w:tplc="04080001">
      <w:start w:val="1"/>
      <w:numFmt w:val="bullet"/>
      <w:lvlText w:val=""/>
      <w:lvlJc w:val="left"/>
      <w:pPr>
        <w:ind w:left="1440" w:hanging="360"/>
      </w:pPr>
      <w:rPr>
        <w:rFonts w:ascii="Symbol" w:hAnsi="Symbol"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2"/>
  </w:num>
  <w:num w:numId="4">
    <w:abstractNumId w:val="0"/>
  </w:num>
  <w:num w:numId="5">
    <w:abstractNumId w:val="1"/>
  </w:num>
  <w:num w:numId="6">
    <w:abstractNumId w:val="5"/>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B83"/>
    <w:rsid w:val="00015A55"/>
    <w:rsid w:val="00035AFD"/>
    <w:rsid w:val="00047475"/>
    <w:rsid w:val="00063F4D"/>
    <w:rsid w:val="00075F08"/>
    <w:rsid w:val="00084E06"/>
    <w:rsid w:val="000B758A"/>
    <w:rsid w:val="000D27EA"/>
    <w:rsid w:val="000D4FF9"/>
    <w:rsid w:val="000F064F"/>
    <w:rsid w:val="000F743B"/>
    <w:rsid w:val="001366FF"/>
    <w:rsid w:val="00161F55"/>
    <w:rsid w:val="00167BB8"/>
    <w:rsid w:val="001977F9"/>
    <w:rsid w:val="001B611B"/>
    <w:rsid w:val="001E31E0"/>
    <w:rsid w:val="001F01A8"/>
    <w:rsid w:val="0022640D"/>
    <w:rsid w:val="00230CEF"/>
    <w:rsid w:val="002362B2"/>
    <w:rsid w:val="00252D5E"/>
    <w:rsid w:val="00266C3A"/>
    <w:rsid w:val="0027145C"/>
    <w:rsid w:val="00271A72"/>
    <w:rsid w:val="002D3672"/>
    <w:rsid w:val="002D4B83"/>
    <w:rsid w:val="002D7AFF"/>
    <w:rsid w:val="002E3E63"/>
    <w:rsid w:val="002F14DC"/>
    <w:rsid w:val="003376B0"/>
    <w:rsid w:val="0038722E"/>
    <w:rsid w:val="003A50F4"/>
    <w:rsid w:val="003A52B3"/>
    <w:rsid w:val="003A52F5"/>
    <w:rsid w:val="003C7675"/>
    <w:rsid w:val="003E0321"/>
    <w:rsid w:val="003F0FC5"/>
    <w:rsid w:val="004009C9"/>
    <w:rsid w:val="00416018"/>
    <w:rsid w:val="00430007"/>
    <w:rsid w:val="00466972"/>
    <w:rsid w:val="00483F39"/>
    <w:rsid w:val="004B57EC"/>
    <w:rsid w:val="004D0557"/>
    <w:rsid w:val="004D40C5"/>
    <w:rsid w:val="004D6065"/>
    <w:rsid w:val="004D7DB2"/>
    <w:rsid w:val="004E4C78"/>
    <w:rsid w:val="0050747A"/>
    <w:rsid w:val="0055079D"/>
    <w:rsid w:val="00560B11"/>
    <w:rsid w:val="005B2730"/>
    <w:rsid w:val="005B503D"/>
    <w:rsid w:val="005B78BD"/>
    <w:rsid w:val="005C337D"/>
    <w:rsid w:val="005D4782"/>
    <w:rsid w:val="006156D5"/>
    <w:rsid w:val="006214F4"/>
    <w:rsid w:val="00627312"/>
    <w:rsid w:val="0064281B"/>
    <w:rsid w:val="0066523F"/>
    <w:rsid w:val="00672430"/>
    <w:rsid w:val="00676A39"/>
    <w:rsid w:val="00676D01"/>
    <w:rsid w:val="0068103F"/>
    <w:rsid w:val="006843BC"/>
    <w:rsid w:val="006A1F46"/>
    <w:rsid w:val="006C1CFB"/>
    <w:rsid w:val="006D0432"/>
    <w:rsid w:val="006E6877"/>
    <w:rsid w:val="006F3997"/>
    <w:rsid w:val="00715A5F"/>
    <w:rsid w:val="00724A05"/>
    <w:rsid w:val="00747D43"/>
    <w:rsid w:val="00750791"/>
    <w:rsid w:val="00751B1F"/>
    <w:rsid w:val="00761D9E"/>
    <w:rsid w:val="00780461"/>
    <w:rsid w:val="007B1B0A"/>
    <w:rsid w:val="007D0794"/>
    <w:rsid w:val="007F32CD"/>
    <w:rsid w:val="007F5B01"/>
    <w:rsid w:val="007F5C68"/>
    <w:rsid w:val="0081599D"/>
    <w:rsid w:val="00857223"/>
    <w:rsid w:val="008A0114"/>
    <w:rsid w:val="008A145D"/>
    <w:rsid w:val="008A15AC"/>
    <w:rsid w:val="008A78FD"/>
    <w:rsid w:val="008C5306"/>
    <w:rsid w:val="008D12DE"/>
    <w:rsid w:val="008F0D49"/>
    <w:rsid w:val="00903D48"/>
    <w:rsid w:val="00956F9F"/>
    <w:rsid w:val="00972CF9"/>
    <w:rsid w:val="0097556D"/>
    <w:rsid w:val="0097665D"/>
    <w:rsid w:val="00984110"/>
    <w:rsid w:val="009C1091"/>
    <w:rsid w:val="009C5D91"/>
    <w:rsid w:val="009F634D"/>
    <w:rsid w:val="009F6A87"/>
    <w:rsid w:val="00A00053"/>
    <w:rsid w:val="00A024B8"/>
    <w:rsid w:val="00A21B15"/>
    <w:rsid w:val="00A23058"/>
    <w:rsid w:val="00A46E22"/>
    <w:rsid w:val="00A476D9"/>
    <w:rsid w:val="00A50C8B"/>
    <w:rsid w:val="00A807DC"/>
    <w:rsid w:val="00A81034"/>
    <w:rsid w:val="00A84FF7"/>
    <w:rsid w:val="00AF2F9C"/>
    <w:rsid w:val="00B05D7D"/>
    <w:rsid w:val="00B221F4"/>
    <w:rsid w:val="00B84A57"/>
    <w:rsid w:val="00B90B8A"/>
    <w:rsid w:val="00BA4A46"/>
    <w:rsid w:val="00BE20B8"/>
    <w:rsid w:val="00BE3904"/>
    <w:rsid w:val="00BF742C"/>
    <w:rsid w:val="00C0127B"/>
    <w:rsid w:val="00C02461"/>
    <w:rsid w:val="00C27D86"/>
    <w:rsid w:val="00C3350D"/>
    <w:rsid w:val="00C86354"/>
    <w:rsid w:val="00C90C2F"/>
    <w:rsid w:val="00CD2969"/>
    <w:rsid w:val="00CE0EA4"/>
    <w:rsid w:val="00CE16FF"/>
    <w:rsid w:val="00CE66E5"/>
    <w:rsid w:val="00CF4121"/>
    <w:rsid w:val="00D64506"/>
    <w:rsid w:val="00D76F43"/>
    <w:rsid w:val="00D82313"/>
    <w:rsid w:val="00D8277C"/>
    <w:rsid w:val="00DA2FD8"/>
    <w:rsid w:val="00DC5716"/>
    <w:rsid w:val="00DF03CF"/>
    <w:rsid w:val="00DF6D00"/>
    <w:rsid w:val="00DF755B"/>
    <w:rsid w:val="00DF7A36"/>
    <w:rsid w:val="00E145D7"/>
    <w:rsid w:val="00E148E7"/>
    <w:rsid w:val="00E3489C"/>
    <w:rsid w:val="00E4625D"/>
    <w:rsid w:val="00E60488"/>
    <w:rsid w:val="00E60B00"/>
    <w:rsid w:val="00E653E8"/>
    <w:rsid w:val="00E70280"/>
    <w:rsid w:val="00E85C80"/>
    <w:rsid w:val="00E918A4"/>
    <w:rsid w:val="00EB41DC"/>
    <w:rsid w:val="00EB701E"/>
    <w:rsid w:val="00EE59E1"/>
    <w:rsid w:val="00EF199E"/>
    <w:rsid w:val="00EF55C3"/>
    <w:rsid w:val="00F20985"/>
    <w:rsid w:val="00F276A4"/>
    <w:rsid w:val="00F43C66"/>
    <w:rsid w:val="00F6693E"/>
    <w:rsid w:val="00F66B86"/>
    <w:rsid w:val="00F93847"/>
    <w:rsid w:val="00FE3542"/>
    <w:rsid w:val="00FF28B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5B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D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701E"/>
    <w:pPr>
      <w:ind w:left="720"/>
      <w:contextualSpacing/>
    </w:pPr>
  </w:style>
  <w:style w:type="table" w:styleId="TableGrid">
    <w:name w:val="Table Grid"/>
    <w:basedOn w:val="TableNormal"/>
    <w:uiPriority w:val="39"/>
    <w:rsid w:val="00EB70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66C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C3A"/>
  </w:style>
  <w:style w:type="paragraph" w:styleId="Footer">
    <w:name w:val="footer"/>
    <w:basedOn w:val="Normal"/>
    <w:link w:val="FooterChar"/>
    <w:uiPriority w:val="99"/>
    <w:unhideWhenUsed/>
    <w:rsid w:val="00266C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C3A"/>
  </w:style>
  <w:style w:type="paragraph" w:customStyle="1" w:styleId="Default">
    <w:name w:val="Default"/>
    <w:rsid w:val="00EF55C3"/>
    <w:pPr>
      <w:autoSpaceDE w:val="0"/>
      <w:autoSpaceDN w:val="0"/>
      <w:adjustRightInd w:val="0"/>
      <w:spacing w:after="0" w:line="240" w:lineRule="auto"/>
    </w:pPr>
    <w:rPr>
      <w:rFonts w:ascii="Calibri" w:hAnsi="Calibri" w:cs="Calibri"/>
      <w:color w:val="000000"/>
      <w:sz w:val="24"/>
      <w:szCs w:val="24"/>
      <w:lang w:val="el-GR"/>
    </w:rPr>
  </w:style>
  <w:style w:type="character" w:styleId="Hyperlink">
    <w:name w:val="Hyperlink"/>
    <w:basedOn w:val="DefaultParagraphFont"/>
    <w:uiPriority w:val="99"/>
    <w:unhideWhenUsed/>
    <w:rsid w:val="00DC5716"/>
    <w:rPr>
      <w:color w:val="0563C1" w:themeColor="hyperlink"/>
      <w:u w:val="single"/>
    </w:rPr>
  </w:style>
  <w:style w:type="character" w:styleId="FollowedHyperlink">
    <w:name w:val="FollowedHyperlink"/>
    <w:basedOn w:val="DefaultParagraphFont"/>
    <w:uiPriority w:val="99"/>
    <w:semiHidden/>
    <w:unhideWhenUsed/>
    <w:rsid w:val="003E0321"/>
    <w:rPr>
      <w:color w:val="954F72" w:themeColor="followedHyperlink"/>
      <w:u w:val="single"/>
    </w:rPr>
  </w:style>
  <w:style w:type="character" w:styleId="CommentReference">
    <w:name w:val="annotation reference"/>
    <w:basedOn w:val="DefaultParagraphFont"/>
    <w:uiPriority w:val="99"/>
    <w:semiHidden/>
    <w:unhideWhenUsed/>
    <w:rsid w:val="00857223"/>
    <w:rPr>
      <w:sz w:val="16"/>
      <w:szCs w:val="16"/>
    </w:rPr>
  </w:style>
  <w:style w:type="paragraph" w:styleId="CommentText">
    <w:name w:val="annotation text"/>
    <w:basedOn w:val="Normal"/>
    <w:link w:val="CommentTextChar"/>
    <w:uiPriority w:val="99"/>
    <w:semiHidden/>
    <w:unhideWhenUsed/>
    <w:rsid w:val="00857223"/>
    <w:pPr>
      <w:spacing w:line="240" w:lineRule="auto"/>
    </w:pPr>
    <w:rPr>
      <w:sz w:val="20"/>
      <w:szCs w:val="20"/>
    </w:rPr>
  </w:style>
  <w:style w:type="character" w:customStyle="1" w:styleId="CommentTextChar">
    <w:name w:val="Comment Text Char"/>
    <w:basedOn w:val="DefaultParagraphFont"/>
    <w:link w:val="CommentText"/>
    <w:uiPriority w:val="99"/>
    <w:semiHidden/>
    <w:rsid w:val="00857223"/>
    <w:rPr>
      <w:sz w:val="20"/>
      <w:szCs w:val="20"/>
    </w:rPr>
  </w:style>
  <w:style w:type="paragraph" w:styleId="CommentSubject">
    <w:name w:val="annotation subject"/>
    <w:basedOn w:val="CommentText"/>
    <w:next w:val="CommentText"/>
    <w:link w:val="CommentSubjectChar"/>
    <w:uiPriority w:val="99"/>
    <w:semiHidden/>
    <w:unhideWhenUsed/>
    <w:rsid w:val="00857223"/>
    <w:rPr>
      <w:b/>
      <w:bCs/>
    </w:rPr>
  </w:style>
  <w:style w:type="character" w:customStyle="1" w:styleId="CommentSubjectChar">
    <w:name w:val="Comment Subject Char"/>
    <w:basedOn w:val="CommentTextChar"/>
    <w:link w:val="CommentSubject"/>
    <w:uiPriority w:val="99"/>
    <w:semiHidden/>
    <w:rsid w:val="00857223"/>
    <w:rPr>
      <w:b/>
      <w:bCs/>
      <w:sz w:val="20"/>
      <w:szCs w:val="20"/>
    </w:rPr>
  </w:style>
  <w:style w:type="paragraph" w:styleId="BalloonText">
    <w:name w:val="Balloon Text"/>
    <w:basedOn w:val="Normal"/>
    <w:link w:val="BalloonTextChar"/>
    <w:uiPriority w:val="99"/>
    <w:semiHidden/>
    <w:unhideWhenUsed/>
    <w:rsid w:val="008572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722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D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701E"/>
    <w:pPr>
      <w:ind w:left="720"/>
      <w:contextualSpacing/>
    </w:pPr>
  </w:style>
  <w:style w:type="table" w:styleId="TableGrid">
    <w:name w:val="Table Grid"/>
    <w:basedOn w:val="TableNormal"/>
    <w:uiPriority w:val="39"/>
    <w:rsid w:val="00EB70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66C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C3A"/>
  </w:style>
  <w:style w:type="paragraph" w:styleId="Footer">
    <w:name w:val="footer"/>
    <w:basedOn w:val="Normal"/>
    <w:link w:val="FooterChar"/>
    <w:uiPriority w:val="99"/>
    <w:unhideWhenUsed/>
    <w:rsid w:val="00266C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C3A"/>
  </w:style>
  <w:style w:type="paragraph" w:customStyle="1" w:styleId="Default">
    <w:name w:val="Default"/>
    <w:rsid w:val="00EF55C3"/>
    <w:pPr>
      <w:autoSpaceDE w:val="0"/>
      <w:autoSpaceDN w:val="0"/>
      <w:adjustRightInd w:val="0"/>
      <w:spacing w:after="0" w:line="240" w:lineRule="auto"/>
    </w:pPr>
    <w:rPr>
      <w:rFonts w:ascii="Calibri" w:hAnsi="Calibri" w:cs="Calibri"/>
      <w:color w:val="000000"/>
      <w:sz w:val="24"/>
      <w:szCs w:val="24"/>
      <w:lang w:val="el-GR"/>
    </w:rPr>
  </w:style>
  <w:style w:type="character" w:styleId="Hyperlink">
    <w:name w:val="Hyperlink"/>
    <w:basedOn w:val="DefaultParagraphFont"/>
    <w:uiPriority w:val="99"/>
    <w:unhideWhenUsed/>
    <w:rsid w:val="00DC5716"/>
    <w:rPr>
      <w:color w:val="0563C1" w:themeColor="hyperlink"/>
      <w:u w:val="single"/>
    </w:rPr>
  </w:style>
  <w:style w:type="character" w:styleId="FollowedHyperlink">
    <w:name w:val="FollowedHyperlink"/>
    <w:basedOn w:val="DefaultParagraphFont"/>
    <w:uiPriority w:val="99"/>
    <w:semiHidden/>
    <w:unhideWhenUsed/>
    <w:rsid w:val="003E0321"/>
    <w:rPr>
      <w:color w:val="954F72" w:themeColor="followedHyperlink"/>
      <w:u w:val="single"/>
    </w:rPr>
  </w:style>
  <w:style w:type="character" w:styleId="CommentReference">
    <w:name w:val="annotation reference"/>
    <w:basedOn w:val="DefaultParagraphFont"/>
    <w:uiPriority w:val="99"/>
    <w:semiHidden/>
    <w:unhideWhenUsed/>
    <w:rsid w:val="00857223"/>
    <w:rPr>
      <w:sz w:val="16"/>
      <w:szCs w:val="16"/>
    </w:rPr>
  </w:style>
  <w:style w:type="paragraph" w:styleId="CommentText">
    <w:name w:val="annotation text"/>
    <w:basedOn w:val="Normal"/>
    <w:link w:val="CommentTextChar"/>
    <w:uiPriority w:val="99"/>
    <w:semiHidden/>
    <w:unhideWhenUsed/>
    <w:rsid w:val="00857223"/>
    <w:pPr>
      <w:spacing w:line="240" w:lineRule="auto"/>
    </w:pPr>
    <w:rPr>
      <w:sz w:val="20"/>
      <w:szCs w:val="20"/>
    </w:rPr>
  </w:style>
  <w:style w:type="character" w:customStyle="1" w:styleId="CommentTextChar">
    <w:name w:val="Comment Text Char"/>
    <w:basedOn w:val="DefaultParagraphFont"/>
    <w:link w:val="CommentText"/>
    <w:uiPriority w:val="99"/>
    <w:semiHidden/>
    <w:rsid w:val="00857223"/>
    <w:rPr>
      <w:sz w:val="20"/>
      <w:szCs w:val="20"/>
    </w:rPr>
  </w:style>
  <w:style w:type="paragraph" w:styleId="CommentSubject">
    <w:name w:val="annotation subject"/>
    <w:basedOn w:val="CommentText"/>
    <w:next w:val="CommentText"/>
    <w:link w:val="CommentSubjectChar"/>
    <w:uiPriority w:val="99"/>
    <w:semiHidden/>
    <w:unhideWhenUsed/>
    <w:rsid w:val="00857223"/>
    <w:rPr>
      <w:b/>
      <w:bCs/>
    </w:rPr>
  </w:style>
  <w:style w:type="character" w:customStyle="1" w:styleId="CommentSubjectChar">
    <w:name w:val="Comment Subject Char"/>
    <w:basedOn w:val="CommentTextChar"/>
    <w:link w:val="CommentSubject"/>
    <w:uiPriority w:val="99"/>
    <w:semiHidden/>
    <w:rsid w:val="00857223"/>
    <w:rPr>
      <w:b/>
      <w:bCs/>
      <w:sz w:val="20"/>
      <w:szCs w:val="20"/>
    </w:rPr>
  </w:style>
  <w:style w:type="paragraph" w:styleId="BalloonText">
    <w:name w:val="Balloon Text"/>
    <w:basedOn w:val="Normal"/>
    <w:link w:val="BalloonTextChar"/>
    <w:uiPriority w:val="99"/>
    <w:semiHidden/>
    <w:unhideWhenUsed/>
    <w:rsid w:val="008572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722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48F61A-08BB-45F4-92F8-1BF62392C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4</Pages>
  <Words>1678</Words>
  <Characters>9065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Nikos Lagaros</dc:creator>
  <cp:lastModifiedBy>sapoun</cp:lastModifiedBy>
  <cp:revision>9</cp:revision>
  <dcterms:created xsi:type="dcterms:W3CDTF">2015-03-13T09:28:00Z</dcterms:created>
  <dcterms:modified xsi:type="dcterms:W3CDTF">2015-03-13T14:24:00Z</dcterms:modified>
</cp:coreProperties>
</file>